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6FE" w:rsidRPr="003977C0" w:rsidRDefault="002B46FE" w:rsidP="003D6FDC">
      <w:pPr>
        <w:adjustRightInd w:val="0"/>
        <w:snapToGrid w:val="0"/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r w:rsidRPr="003977C0">
        <w:rPr>
          <w:rFonts w:ascii="黑体" w:eastAsia="黑体" w:hAnsi="黑体" w:hint="eastAsia"/>
          <w:color w:val="000000"/>
          <w:sz w:val="32"/>
          <w:szCs w:val="32"/>
        </w:rPr>
        <w:t>附</w:t>
      </w:r>
      <w:r w:rsidRPr="003977C0">
        <w:rPr>
          <w:rFonts w:ascii="黑体" w:eastAsia="黑体" w:hAnsi="黑体"/>
          <w:color w:val="000000"/>
          <w:sz w:val="32"/>
          <w:szCs w:val="32"/>
        </w:rPr>
        <w:t>件</w:t>
      </w:r>
      <w:r w:rsidR="006E074C" w:rsidRPr="003977C0">
        <w:rPr>
          <w:rFonts w:ascii="黑体" w:eastAsia="黑体" w:hAnsi="黑体"/>
          <w:color w:val="000000"/>
          <w:sz w:val="32"/>
          <w:szCs w:val="32"/>
        </w:rPr>
        <w:t>1</w:t>
      </w:r>
    </w:p>
    <w:p w:rsidR="002B46FE" w:rsidRPr="003977C0" w:rsidRDefault="002B46FE" w:rsidP="003D6FDC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bCs/>
          <w:color w:val="000000"/>
          <w:sz w:val="44"/>
          <w:szCs w:val="44"/>
        </w:rPr>
      </w:pPr>
    </w:p>
    <w:p w:rsidR="00C10DE8" w:rsidRPr="003977C0" w:rsidRDefault="002B46FE" w:rsidP="003D6FDC">
      <w:pPr>
        <w:adjustRightInd w:val="0"/>
        <w:snapToGrid w:val="0"/>
        <w:spacing w:line="590" w:lineRule="exact"/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 w:rsidRPr="003977C0">
        <w:rPr>
          <w:rFonts w:ascii="方正小标宋简体" w:eastAsia="方正小标宋简体" w:hint="eastAsia"/>
          <w:color w:val="000000"/>
          <w:sz w:val="44"/>
          <w:szCs w:val="44"/>
        </w:rPr>
        <w:t>202</w:t>
      </w:r>
      <w:r w:rsidRPr="003977C0">
        <w:rPr>
          <w:rFonts w:ascii="方正小标宋简体" w:eastAsia="方正小标宋简体"/>
          <w:color w:val="000000"/>
          <w:sz w:val="44"/>
          <w:szCs w:val="44"/>
        </w:rPr>
        <w:t>6</w:t>
      </w:r>
      <w:r w:rsidRPr="003977C0">
        <w:rPr>
          <w:rFonts w:ascii="方正小标宋简体" w:eastAsia="方正小标宋简体" w:hint="eastAsia"/>
          <w:color w:val="000000"/>
          <w:sz w:val="44"/>
          <w:szCs w:val="44"/>
        </w:rPr>
        <w:t>年度课题</w:t>
      </w:r>
      <w:r w:rsidRPr="003977C0"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研究指南</w:t>
      </w:r>
    </w:p>
    <w:p w:rsidR="00C10DE8" w:rsidRPr="003977C0" w:rsidRDefault="006E074C" w:rsidP="003D6FDC">
      <w:pPr>
        <w:overflowPunct w:val="0"/>
        <w:topLinePunct/>
        <w:spacing w:afterLines="100" w:after="312" w:line="59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3977C0">
        <w:rPr>
          <w:rFonts w:ascii="方正小标宋简体" w:eastAsia="方正小标宋简体"/>
          <w:color w:val="000000"/>
          <w:sz w:val="44"/>
          <w:szCs w:val="44"/>
        </w:rPr>
        <w:t>（</w:t>
      </w:r>
      <w:r w:rsidR="00C10DE8" w:rsidRPr="003977C0">
        <w:rPr>
          <w:rFonts w:ascii="方正小标宋简体" w:eastAsia="方正小标宋简体"/>
          <w:color w:val="000000"/>
          <w:sz w:val="44"/>
          <w:szCs w:val="44"/>
        </w:rPr>
        <w:t>统计系统</w:t>
      </w:r>
      <w:r w:rsidRPr="003977C0">
        <w:rPr>
          <w:rFonts w:ascii="方正小标宋简体" w:eastAsia="方正小标宋简体"/>
          <w:color w:val="000000"/>
          <w:sz w:val="44"/>
          <w:szCs w:val="44"/>
        </w:rPr>
        <w:t>）</w:t>
      </w:r>
    </w:p>
    <w:p w:rsidR="00C10DE8" w:rsidRPr="003977C0" w:rsidRDefault="00C10DE8" w:rsidP="00E246B4">
      <w:pPr>
        <w:overflowPunct w:val="0"/>
        <w:topLinePunct/>
        <w:spacing w:line="590" w:lineRule="exact"/>
        <w:ind w:rightChars="-100" w:right="-210" w:firstLineChars="200" w:firstLine="643"/>
        <w:jc w:val="left"/>
        <w:rPr>
          <w:rFonts w:ascii="黑体" w:eastAsia="黑体" w:hAnsi="黑体" w:cs="仿宋_GB2312"/>
          <w:b/>
          <w:bCs/>
          <w:color w:val="000000"/>
          <w:sz w:val="32"/>
          <w:szCs w:val="32"/>
        </w:rPr>
      </w:pPr>
      <w:bookmarkStart w:id="0" w:name="_GoBack"/>
      <w:r w:rsidRPr="003977C0">
        <w:rPr>
          <w:rFonts w:ascii="黑体" w:eastAsia="黑体" w:hAnsi="黑体" w:cs="仿宋_GB2312"/>
          <w:b/>
          <w:bCs/>
          <w:color w:val="000000"/>
          <w:sz w:val="32"/>
          <w:szCs w:val="32"/>
        </w:rPr>
        <w:t>一、统计</w:t>
      </w:r>
      <w:r w:rsidRPr="003977C0">
        <w:rPr>
          <w:rFonts w:ascii="黑体" w:eastAsia="黑体" w:hAnsi="黑体" w:cs="仿宋_GB2312" w:hint="eastAsia"/>
          <w:b/>
          <w:bCs/>
          <w:color w:val="000000"/>
          <w:sz w:val="32"/>
          <w:szCs w:val="32"/>
        </w:rPr>
        <w:t>改革</w:t>
      </w:r>
      <w:r w:rsidRPr="003977C0">
        <w:rPr>
          <w:rFonts w:ascii="黑体" w:eastAsia="黑体" w:hAnsi="黑体" w:cs="仿宋_GB2312"/>
          <w:b/>
          <w:bCs/>
          <w:color w:val="000000"/>
          <w:sz w:val="32"/>
          <w:szCs w:val="32"/>
        </w:rPr>
        <w:t>发展类</w:t>
      </w:r>
    </w:p>
    <w:p w:rsidR="00C10DE8" w:rsidRPr="003977C0" w:rsidRDefault="00C10DE8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1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.</w:t>
      </w:r>
      <w:r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山东省防范惩治统计造假责任体系与地方立法细化研究</w:t>
      </w:r>
    </w:p>
    <w:p w:rsidR="00C10DE8" w:rsidRPr="003977C0" w:rsidRDefault="00C10DE8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2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.山东省统计执法裁量基准与法律责任条款优化适配研究</w:t>
      </w:r>
    </w:p>
    <w:p w:rsidR="00C10DE8" w:rsidRPr="003977C0" w:rsidRDefault="00C10DE8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3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.</w:t>
      </w:r>
      <w:r w:rsidRPr="003977C0">
        <w:rPr>
          <w:rFonts w:ascii="仿宋_GB2312" w:eastAsia="仿宋_GB2312" w:hAnsi="宋体" w:hint="eastAsia"/>
          <w:bCs/>
          <w:color w:val="000000"/>
          <w:spacing w:val="-6"/>
          <w:sz w:val="32"/>
          <w:szCs w:val="32"/>
        </w:rPr>
        <w:t>市县统计监督与其他监督贯通协同典型模式与推广路径研究</w:t>
      </w:r>
    </w:p>
    <w:p w:rsidR="00C10DE8" w:rsidRPr="003977C0" w:rsidRDefault="00C10DE8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4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.基层统计执法薄弱环节与执法质效提升对策研究</w:t>
      </w:r>
    </w:p>
    <w:p w:rsidR="00C10DE8" w:rsidRPr="003977C0" w:rsidRDefault="00C10DE8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5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.</w:t>
      </w:r>
      <w:r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经营主体活动发生地统计制度构建与实施路径研究</w:t>
      </w:r>
    </w:p>
    <w:p w:rsidR="003977C0" w:rsidRPr="003977C0" w:rsidRDefault="00C10DE8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6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.</w:t>
      </w:r>
      <w:r w:rsidR="003977C0"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新时代基层统计规范化体系构建与高质量发展实践研究</w:t>
      </w:r>
    </w:p>
    <w:p w:rsidR="00C10DE8" w:rsidRPr="003977C0" w:rsidRDefault="003977C0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7.</w:t>
      </w:r>
      <w:r w:rsidR="00C10DE8"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跨区域经营主体统计归属与核算方法研究</w:t>
      </w:r>
    </w:p>
    <w:p w:rsidR="003977C0" w:rsidRPr="003977C0" w:rsidRDefault="003977C0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8.生活性服务业增加值核算方法研究</w:t>
      </w:r>
    </w:p>
    <w:p w:rsidR="003977C0" w:rsidRPr="003977C0" w:rsidRDefault="003977C0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9.农业新型经营主体统计调查方法研究</w:t>
      </w:r>
    </w:p>
    <w:p w:rsidR="003977C0" w:rsidRPr="003977C0" w:rsidRDefault="003977C0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10.宏观经济统计数据匹配性研究</w:t>
      </w:r>
    </w:p>
    <w:p w:rsidR="003977C0" w:rsidRPr="003977C0" w:rsidRDefault="003977C0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11.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山东新时代社会主义现代化强省统计监测评价方法研究</w:t>
      </w:r>
    </w:p>
    <w:p w:rsidR="003977C0" w:rsidRPr="003977C0" w:rsidRDefault="003977C0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/>
          <w:bCs/>
          <w:color w:val="000000"/>
          <w:sz w:val="32"/>
          <w:szCs w:val="32"/>
        </w:rPr>
        <w:t>12.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山东新质生产力监测评价方法研究</w:t>
      </w:r>
    </w:p>
    <w:p w:rsidR="00C10DE8" w:rsidRPr="003977C0" w:rsidRDefault="003977C0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/>
          <w:bCs/>
          <w:color w:val="000000"/>
          <w:sz w:val="32"/>
          <w:szCs w:val="32"/>
        </w:rPr>
        <w:t>13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.</w:t>
      </w:r>
      <w:r w:rsidR="00C10DE8"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“十五五”时期现代化产业体系发展进程监测体系研究</w:t>
      </w:r>
    </w:p>
    <w:p w:rsidR="00C10DE8" w:rsidRPr="003977C0" w:rsidRDefault="003977C0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/>
          <w:bCs/>
          <w:color w:val="000000"/>
          <w:sz w:val="32"/>
          <w:szCs w:val="32"/>
        </w:rPr>
        <w:t>14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.</w:t>
      </w:r>
      <w:r w:rsidR="00C10DE8"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“十五五”时期新型工业化进程统计监测体系构建研究</w:t>
      </w:r>
    </w:p>
    <w:p w:rsidR="00C10DE8" w:rsidRPr="003977C0" w:rsidRDefault="003977C0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/>
          <w:bCs/>
          <w:color w:val="000000"/>
          <w:sz w:val="32"/>
          <w:szCs w:val="32"/>
        </w:rPr>
        <w:t>15.</w:t>
      </w:r>
      <w:r w:rsidR="00C10DE8"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城市更新监测体系构建研究</w:t>
      </w:r>
    </w:p>
    <w:p w:rsidR="00C10DE8" w:rsidRPr="003977C0" w:rsidRDefault="00C10DE8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/>
          <w:bCs/>
          <w:color w:val="000000"/>
          <w:sz w:val="32"/>
          <w:szCs w:val="32"/>
        </w:rPr>
        <w:t>16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.</w:t>
      </w:r>
      <w:r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山东省纳统成效评价体系构建研究</w:t>
      </w:r>
    </w:p>
    <w:p w:rsidR="00C10DE8" w:rsidRPr="003977C0" w:rsidRDefault="00C10DE8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lastRenderedPageBreak/>
        <w:t>17.</w:t>
      </w:r>
      <w:r w:rsidR="003977C0"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山东省基本单位名录库维护管理路径研究</w:t>
      </w:r>
    </w:p>
    <w:p w:rsidR="003977C0" w:rsidRPr="003977C0" w:rsidRDefault="00C10DE8" w:rsidP="00E246B4">
      <w:pPr>
        <w:spacing w:line="590" w:lineRule="exact"/>
        <w:ind w:rightChars="26" w:right="55" w:firstLineChars="200" w:firstLine="640"/>
        <w:rPr>
          <w:rFonts w:ascii="仿宋_GB2312" w:eastAsia="仿宋_GB2312" w:hAnsi="宋体"/>
          <w:bCs/>
          <w:color w:val="000000"/>
          <w:spacing w:val="-10"/>
          <w:sz w:val="32"/>
          <w:szCs w:val="32"/>
        </w:rPr>
      </w:pPr>
      <w:r w:rsidRPr="003977C0">
        <w:rPr>
          <w:rFonts w:ascii="仿宋_GB2312" w:eastAsia="仿宋_GB2312" w:hAnsi="宋体" w:cs="仿宋_GB2312"/>
          <w:bCs/>
          <w:color w:val="000000"/>
          <w:sz w:val="32"/>
          <w:szCs w:val="32"/>
        </w:rPr>
        <w:t>1</w:t>
      </w:r>
      <w:r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8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.</w:t>
      </w:r>
      <w:r w:rsidR="003977C0" w:rsidRPr="00457489">
        <w:rPr>
          <w:rFonts w:ascii="仿宋_GB2312" w:eastAsia="仿宋_GB2312" w:hAnsi="宋体" w:hint="eastAsia"/>
          <w:bCs/>
          <w:color w:val="000000"/>
          <w:sz w:val="32"/>
          <w:szCs w:val="32"/>
        </w:rPr>
        <w:t>机关事业单位劳动工资电子台账标准化体系构建与实践探索</w:t>
      </w:r>
    </w:p>
    <w:p w:rsidR="003977C0" w:rsidRPr="003977C0" w:rsidRDefault="003977C0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/>
          <w:bCs/>
          <w:color w:val="000000"/>
          <w:sz w:val="32"/>
          <w:szCs w:val="32"/>
        </w:rPr>
        <w:t>1</w:t>
      </w:r>
      <w:r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9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.</w:t>
      </w:r>
      <w:r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数字化背景下农村统计基层电子台账的建设与应用研究</w:t>
      </w:r>
    </w:p>
    <w:p w:rsidR="00C10DE8" w:rsidRPr="003977C0" w:rsidRDefault="00C10DE8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/>
          <w:bCs/>
          <w:color w:val="000000"/>
          <w:sz w:val="32"/>
          <w:szCs w:val="32"/>
        </w:rPr>
        <w:t>20.</w:t>
      </w:r>
      <w:r w:rsidR="003977C0"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新形势下统计数据安全防护体系建设研究</w:t>
      </w:r>
    </w:p>
    <w:p w:rsidR="00C10DE8" w:rsidRPr="003977C0" w:rsidRDefault="00C10DE8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pacing w:val="-6"/>
          <w:sz w:val="32"/>
          <w:szCs w:val="32"/>
        </w:rPr>
      </w:pPr>
      <w:r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21.</w:t>
      </w:r>
      <w:r w:rsidR="003977C0" w:rsidRPr="003977C0">
        <w:rPr>
          <w:rFonts w:ascii="仿宋_GB2312" w:eastAsia="仿宋_GB2312" w:hAnsi="宋体" w:hint="eastAsia"/>
          <w:bCs/>
          <w:color w:val="000000"/>
          <w:spacing w:val="-6"/>
          <w:sz w:val="32"/>
          <w:szCs w:val="32"/>
        </w:rPr>
        <w:t>人工智能背景下政府统计系统网络安全防护能力提升研究</w:t>
      </w:r>
    </w:p>
    <w:p w:rsidR="00C10DE8" w:rsidRPr="003977C0" w:rsidRDefault="00C10DE8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/>
          <w:bCs/>
          <w:color w:val="000000"/>
          <w:sz w:val="32"/>
          <w:szCs w:val="32"/>
        </w:rPr>
        <w:t>22.</w:t>
      </w:r>
      <w:r w:rsidR="003977C0"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现代信息技术在四农普工作中的应用研究</w:t>
      </w:r>
    </w:p>
    <w:p w:rsidR="00C10DE8" w:rsidRPr="003977C0" w:rsidRDefault="00C10DE8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/>
          <w:bCs/>
          <w:color w:val="000000"/>
          <w:sz w:val="32"/>
          <w:szCs w:val="32"/>
        </w:rPr>
        <w:t>23.</w:t>
      </w:r>
      <w:r w:rsidR="003977C0"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统计智能应用场景研究</w:t>
      </w:r>
    </w:p>
    <w:p w:rsidR="00C10DE8" w:rsidRPr="003977C0" w:rsidRDefault="00C10DE8" w:rsidP="00E246B4">
      <w:pPr>
        <w:spacing w:line="590" w:lineRule="exact"/>
        <w:ind w:rightChars="-100" w:right="-210" w:firstLineChars="200" w:firstLine="643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 w:rsidRPr="003977C0">
        <w:rPr>
          <w:rFonts w:ascii="黑体" w:eastAsia="黑体" w:hAnsi="黑体" w:hint="eastAsia"/>
          <w:b/>
          <w:bCs/>
          <w:color w:val="000000"/>
          <w:sz w:val="32"/>
          <w:szCs w:val="32"/>
        </w:rPr>
        <w:t>二、</w:t>
      </w:r>
      <w:r w:rsidRPr="003977C0">
        <w:rPr>
          <w:rFonts w:ascii="黑体" w:eastAsia="黑体" w:hAnsi="黑体"/>
          <w:b/>
          <w:bCs/>
          <w:color w:val="000000"/>
          <w:sz w:val="32"/>
          <w:szCs w:val="32"/>
        </w:rPr>
        <w:t>经济社会发展类</w:t>
      </w:r>
    </w:p>
    <w:p w:rsidR="00C10DE8" w:rsidRPr="003977C0" w:rsidRDefault="00C10DE8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/>
          <w:bCs/>
          <w:color w:val="000000"/>
          <w:sz w:val="32"/>
          <w:szCs w:val="32"/>
        </w:rPr>
        <w:t>24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.山东打造北方地区经济重要增长极发展路径研究</w:t>
      </w:r>
    </w:p>
    <w:p w:rsidR="00C10DE8" w:rsidRDefault="00C10DE8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/>
          <w:bCs/>
          <w:color w:val="000000"/>
          <w:sz w:val="32"/>
          <w:szCs w:val="32"/>
        </w:rPr>
        <w:t>25.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山东产业能级跃升路径研究</w:t>
      </w:r>
    </w:p>
    <w:p w:rsidR="000A6D3B" w:rsidRPr="003977C0" w:rsidRDefault="000A6D3B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/>
          <w:bCs/>
          <w:color w:val="000000"/>
          <w:sz w:val="32"/>
          <w:szCs w:val="32"/>
        </w:rPr>
        <w:t>26.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增强山东省内区域发展协调性研究</w:t>
      </w:r>
    </w:p>
    <w:p w:rsidR="00C10DE8" w:rsidRPr="003977C0" w:rsidRDefault="000A6D3B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27.</w:t>
      </w:r>
      <w:r w:rsidR="00C10DE8"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山东新型城镇化与扩大内需关联测度研究</w:t>
      </w:r>
    </w:p>
    <w:p w:rsidR="00C10DE8" w:rsidRPr="003977C0" w:rsidRDefault="000A6D3B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28.山东以县域为主导推进城乡融合研究</w:t>
      </w:r>
    </w:p>
    <w:p w:rsidR="00C10DE8" w:rsidRDefault="000A6D3B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/>
          <w:bCs/>
          <w:color w:val="000000"/>
          <w:sz w:val="32"/>
          <w:szCs w:val="32"/>
        </w:rPr>
        <w:t>29.</w:t>
      </w:r>
      <w:r w:rsidR="001900C7" w:rsidRPr="003977C0">
        <w:rPr>
          <w:rFonts w:ascii="仿宋_GB2312" w:eastAsia="仿宋_GB2312" w:hAnsi="宋体" w:cs="仿宋_GB2312"/>
          <w:bCs/>
          <w:color w:val="000000"/>
          <w:sz w:val="32"/>
          <w:szCs w:val="32"/>
        </w:rPr>
        <w:t>构建现代产业体系背景下</w:t>
      </w:r>
      <w:r w:rsidR="001900C7"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山东新旧动能转换路径研究</w:t>
      </w:r>
    </w:p>
    <w:p w:rsidR="000A6D3B" w:rsidRPr="003977C0" w:rsidRDefault="001900C7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30.</w:t>
      </w:r>
      <w:r w:rsidR="000A6D3B"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山东布局未来产业新赛道研究</w:t>
      </w:r>
    </w:p>
    <w:p w:rsidR="000A6D3B" w:rsidRDefault="001900C7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/>
          <w:bCs/>
          <w:color w:val="000000"/>
          <w:sz w:val="32"/>
          <w:szCs w:val="32"/>
        </w:rPr>
        <w:t>31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.</w:t>
      </w:r>
      <w:r w:rsidR="000A6D3B"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强化基础研究投入强度的实现路径与政策框架研究</w:t>
      </w:r>
    </w:p>
    <w:p w:rsidR="000A6D3B" w:rsidRPr="000A6D3B" w:rsidRDefault="001900C7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32.</w:t>
      </w:r>
      <w:r w:rsidR="000A6D3B"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山东创新能力研究</w:t>
      </w:r>
    </w:p>
    <w:p w:rsidR="00C10DE8" w:rsidRDefault="001900C7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33.</w:t>
      </w:r>
      <w:r w:rsidR="00C10DE8"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消费升级牵引投资方向优化的路径对策研究</w:t>
      </w:r>
    </w:p>
    <w:p w:rsidR="001900C7" w:rsidRPr="003977C0" w:rsidRDefault="001900C7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/>
          <w:bCs/>
          <w:color w:val="000000"/>
          <w:sz w:val="32"/>
          <w:szCs w:val="32"/>
        </w:rPr>
        <w:t>34.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基础设施投资与经济发展适配性研究</w:t>
      </w:r>
    </w:p>
    <w:p w:rsidR="00457489" w:rsidRDefault="001900C7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35.</w:t>
      </w:r>
      <w:r w:rsidR="00457489"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固定资产投资效益研究</w:t>
      </w:r>
    </w:p>
    <w:p w:rsidR="00457489" w:rsidRDefault="001900C7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/>
          <w:bCs/>
          <w:color w:val="000000"/>
          <w:sz w:val="32"/>
          <w:szCs w:val="32"/>
        </w:rPr>
        <w:t>36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.</w:t>
      </w:r>
      <w:r w:rsidR="00457489"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扩大有效投资的潜力空间和重点领域研究</w:t>
      </w:r>
    </w:p>
    <w:p w:rsidR="00457489" w:rsidRDefault="001900C7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lastRenderedPageBreak/>
        <w:t>37.</w:t>
      </w:r>
      <w:r w:rsidR="00457489"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房地产发展新模式研究</w:t>
      </w:r>
    </w:p>
    <w:p w:rsidR="00C10DE8" w:rsidRPr="003977C0" w:rsidRDefault="001900C7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38.</w:t>
      </w:r>
      <w:r w:rsidR="00457489"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建筑业转型升级发展研究</w:t>
      </w:r>
    </w:p>
    <w:p w:rsidR="00C10DE8" w:rsidRPr="003977C0" w:rsidRDefault="001900C7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39.</w:t>
      </w:r>
      <w:r w:rsidR="00C10DE8"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科技创新赋能民营经济高质量发展路径研究</w:t>
      </w:r>
    </w:p>
    <w:p w:rsidR="000A6D3B" w:rsidRDefault="001900C7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/>
          <w:bCs/>
          <w:color w:val="000000"/>
          <w:sz w:val="32"/>
          <w:szCs w:val="32"/>
        </w:rPr>
        <w:t>40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.</w:t>
      </w:r>
      <w:r w:rsidR="00C10DE8"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山东促进文化和科技深度融合创新发展研究</w:t>
      </w:r>
    </w:p>
    <w:p w:rsidR="00C10DE8" w:rsidRPr="003977C0" w:rsidRDefault="001900C7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/>
          <w:bCs/>
          <w:color w:val="000000"/>
          <w:sz w:val="32"/>
          <w:szCs w:val="32"/>
        </w:rPr>
        <w:t>41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.</w:t>
      </w:r>
      <w:r w:rsidR="000A6D3B"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“十五五”时期山东商贸领域发展方向研究</w:t>
      </w:r>
    </w:p>
    <w:p w:rsidR="00C10DE8" w:rsidRPr="003977C0" w:rsidRDefault="001900C7" w:rsidP="00E246B4">
      <w:pPr>
        <w:spacing w:line="590" w:lineRule="exact"/>
        <w:ind w:rightChars="26" w:right="55" w:firstLineChars="200" w:firstLine="640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/>
          <w:bCs/>
          <w:color w:val="000000"/>
          <w:sz w:val="32"/>
          <w:szCs w:val="32"/>
        </w:rPr>
        <w:t>42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.</w:t>
      </w:r>
      <w:r w:rsidR="000A6D3B" w:rsidRPr="001900C7">
        <w:rPr>
          <w:rFonts w:ascii="仿宋_GB2312" w:eastAsia="仿宋_GB2312" w:hAnsi="宋体" w:hint="eastAsia"/>
          <w:bCs/>
          <w:color w:val="000000"/>
          <w:sz w:val="32"/>
          <w:szCs w:val="32"/>
        </w:rPr>
        <w:t>山东完善提升县域商业体系、扩大优质商品和服务供给研究</w:t>
      </w:r>
    </w:p>
    <w:p w:rsidR="00C10DE8" w:rsidRPr="003977C0" w:rsidRDefault="00C10DE8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/>
          <w:bCs/>
          <w:color w:val="000000"/>
          <w:sz w:val="32"/>
          <w:szCs w:val="32"/>
        </w:rPr>
        <w:t>43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.山东省服务消费发展现状及供给优化研究</w:t>
      </w:r>
    </w:p>
    <w:p w:rsidR="00457489" w:rsidRDefault="00C10DE8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44.</w:t>
      </w:r>
      <w:r w:rsidR="00457489"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青年群体消费特征及趋势研究</w:t>
      </w:r>
    </w:p>
    <w:p w:rsidR="00C10DE8" w:rsidRPr="003977C0" w:rsidRDefault="00457489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45.</w:t>
      </w:r>
      <w:r w:rsidR="00C10DE8"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文旅融合背景下山东乡村文化振兴多维路径研究</w:t>
      </w:r>
    </w:p>
    <w:p w:rsidR="00C10DE8" w:rsidRPr="003977C0" w:rsidRDefault="00457489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/>
          <w:bCs/>
          <w:color w:val="000000"/>
          <w:sz w:val="32"/>
          <w:szCs w:val="32"/>
        </w:rPr>
        <w:t>46.</w:t>
      </w:r>
      <w:r w:rsidR="001900C7"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农业新质生产力发展研究</w:t>
      </w:r>
    </w:p>
    <w:p w:rsidR="001900C7" w:rsidRDefault="00457489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/>
          <w:bCs/>
          <w:color w:val="000000"/>
          <w:sz w:val="32"/>
          <w:szCs w:val="32"/>
        </w:rPr>
        <w:t>47.</w:t>
      </w:r>
      <w:r w:rsidR="001900C7"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山东设施农业高质量发展研究</w:t>
      </w:r>
    </w:p>
    <w:p w:rsidR="00C10DE8" w:rsidRDefault="001900C7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/>
          <w:bCs/>
          <w:color w:val="000000"/>
          <w:sz w:val="32"/>
          <w:szCs w:val="32"/>
        </w:rPr>
        <w:t>48.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因地制宜发展县域富民产业的路径与政策支撑研究</w:t>
      </w:r>
    </w:p>
    <w:p w:rsidR="00C10DE8" w:rsidRPr="003977C0" w:rsidRDefault="001900C7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/>
          <w:bCs/>
          <w:color w:val="000000"/>
          <w:sz w:val="32"/>
          <w:szCs w:val="32"/>
        </w:rPr>
        <w:t>49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.</w:t>
      </w:r>
      <w:r w:rsidR="000A6D3B" w:rsidRPr="001900C7">
        <w:rPr>
          <w:rFonts w:ascii="仿宋_GB2312" w:eastAsia="仿宋_GB2312" w:hAnsi="宋体" w:hint="eastAsia"/>
          <w:bCs/>
          <w:color w:val="000000"/>
          <w:sz w:val="32"/>
          <w:szCs w:val="32"/>
        </w:rPr>
        <w:t>农村产业融合对农民收入影响测度分析</w:t>
      </w:r>
    </w:p>
    <w:p w:rsidR="001900C7" w:rsidRPr="003977C0" w:rsidRDefault="00457489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/>
          <w:bCs/>
          <w:color w:val="000000"/>
          <w:sz w:val="32"/>
          <w:szCs w:val="32"/>
        </w:rPr>
        <w:t>50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.</w:t>
      </w:r>
      <w:r w:rsidR="001900C7">
        <w:rPr>
          <w:rFonts w:ascii="仿宋_GB2312" w:eastAsia="仿宋_GB2312" w:hAnsi="宋体" w:hint="eastAsia"/>
          <w:bCs/>
          <w:color w:val="000000"/>
          <w:sz w:val="32"/>
          <w:szCs w:val="32"/>
        </w:rPr>
        <w:t>人</w:t>
      </w:r>
      <w:r w:rsidR="001900C7"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工智能技术发展对就业市场的影响评估和前瞻性研究</w:t>
      </w:r>
    </w:p>
    <w:p w:rsidR="00C10DE8" w:rsidRPr="003977C0" w:rsidRDefault="00457489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/>
          <w:bCs/>
          <w:color w:val="000000"/>
          <w:sz w:val="32"/>
          <w:szCs w:val="32"/>
        </w:rPr>
        <w:t>51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.</w:t>
      </w:r>
      <w:r w:rsidR="00C10DE8"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“双碳”背景下山东绿电直连对经济增长和能源结构优化的影响研究</w:t>
      </w:r>
    </w:p>
    <w:p w:rsidR="00C10DE8" w:rsidRDefault="00457489" w:rsidP="00E246B4">
      <w:pPr>
        <w:tabs>
          <w:tab w:val="left" w:pos="2039"/>
        </w:tabs>
        <w:spacing w:line="590" w:lineRule="exact"/>
        <w:ind w:rightChars="-100" w:right="-210"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/>
          <w:bCs/>
          <w:color w:val="000000"/>
          <w:sz w:val="32"/>
          <w:szCs w:val="32"/>
        </w:rPr>
        <w:t>52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.</w:t>
      </w:r>
      <w:r w:rsidR="00C10DE8"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企业数字化转型研究</w:t>
      </w:r>
    </w:p>
    <w:p w:rsidR="00242DB3" w:rsidRPr="003977C0" w:rsidRDefault="00242DB3" w:rsidP="00E246B4">
      <w:pPr>
        <w:tabs>
          <w:tab w:val="left" w:pos="2039"/>
        </w:tabs>
        <w:spacing w:line="590" w:lineRule="exact"/>
        <w:ind w:rightChars="-100" w:right="-210" w:firstLineChars="200" w:firstLine="640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/>
          <w:bCs/>
          <w:color w:val="000000"/>
          <w:sz w:val="32"/>
          <w:szCs w:val="32"/>
        </w:rPr>
        <w:t>53</w:t>
      </w:r>
      <w:r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.</w:t>
      </w:r>
      <w:r w:rsidRPr="00242DB3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数字经济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发展提升生产性服务业竞争力分析</w:t>
      </w:r>
    </w:p>
    <w:p w:rsidR="00C10DE8" w:rsidRPr="003977C0" w:rsidRDefault="00242DB3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/>
          <w:bCs/>
          <w:color w:val="000000"/>
          <w:sz w:val="32"/>
          <w:szCs w:val="32"/>
        </w:rPr>
        <w:t>54.</w:t>
      </w:r>
      <w:r w:rsidR="00C10DE8" w:rsidRPr="003977C0">
        <w:rPr>
          <w:rFonts w:ascii="仿宋_GB2312" w:eastAsia="仿宋_GB2312" w:hAnsi="宋体" w:hint="eastAsia"/>
          <w:bCs/>
          <w:color w:val="000000"/>
          <w:sz w:val="32"/>
          <w:szCs w:val="32"/>
        </w:rPr>
        <w:t>我省科学研究和技术服务业高质量发展研究</w:t>
      </w:r>
    </w:p>
    <w:p w:rsidR="00C10DE8" w:rsidRPr="003977C0" w:rsidRDefault="00242DB3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/>
          <w:bCs/>
          <w:color w:val="000000"/>
          <w:sz w:val="32"/>
          <w:szCs w:val="32"/>
        </w:rPr>
        <w:t>55.</w:t>
      </w:r>
      <w:r w:rsidR="00C10DE8"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先进制造业与现代服务业融合发展研究</w:t>
      </w:r>
    </w:p>
    <w:p w:rsidR="00C10DE8" w:rsidRPr="003977C0" w:rsidRDefault="00242DB3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/>
          <w:bCs/>
          <w:color w:val="000000"/>
          <w:sz w:val="32"/>
          <w:szCs w:val="32"/>
        </w:rPr>
        <w:t>56.</w:t>
      </w:r>
      <w:r w:rsidR="00C10DE8"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生活性服务业高质量发展研究</w:t>
      </w:r>
    </w:p>
    <w:p w:rsidR="00C10DE8" w:rsidRPr="003977C0" w:rsidRDefault="00242DB3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/>
          <w:bCs/>
          <w:color w:val="000000"/>
          <w:sz w:val="32"/>
          <w:szCs w:val="32"/>
        </w:rPr>
        <w:lastRenderedPageBreak/>
        <w:t>57.</w:t>
      </w:r>
      <w:r w:rsidR="00C10DE8"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济南青岛双圈协同联动发展水平统计测度研究</w:t>
      </w:r>
    </w:p>
    <w:p w:rsidR="00C10DE8" w:rsidRPr="003977C0" w:rsidRDefault="00242DB3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/>
          <w:bCs/>
          <w:color w:val="000000"/>
          <w:sz w:val="32"/>
          <w:szCs w:val="32"/>
        </w:rPr>
        <w:t>58.</w:t>
      </w:r>
      <w:r w:rsidR="00C10DE8"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山东沿黄区县高质量发展研究</w:t>
      </w:r>
    </w:p>
    <w:p w:rsidR="00C10DE8" w:rsidRPr="003977C0" w:rsidRDefault="00242DB3" w:rsidP="00E246B4">
      <w:pPr>
        <w:spacing w:line="590" w:lineRule="exact"/>
        <w:ind w:rightChars="-100" w:right="-210" w:firstLineChars="200" w:firstLine="640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  <w:r w:rsidRPr="003977C0">
        <w:rPr>
          <w:rFonts w:ascii="仿宋_GB2312" w:eastAsia="仿宋_GB2312" w:hAnsi="宋体" w:cs="仿宋_GB2312"/>
          <w:bCs/>
          <w:color w:val="000000"/>
          <w:sz w:val="32"/>
          <w:szCs w:val="32"/>
        </w:rPr>
        <w:t>59.</w:t>
      </w:r>
      <w:r w:rsidR="00C10DE8" w:rsidRPr="003977C0"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  <w:t>基于银发经济新趋势的促消费政策研究</w:t>
      </w:r>
      <w:bookmarkEnd w:id="0"/>
    </w:p>
    <w:p w:rsidR="00242DB3" w:rsidRPr="003977C0" w:rsidRDefault="00242DB3" w:rsidP="003D6FDC">
      <w:pPr>
        <w:spacing w:line="590" w:lineRule="exact"/>
        <w:ind w:rightChars="-100" w:right="-210" w:firstLineChars="200" w:firstLine="640"/>
        <w:rPr>
          <w:rFonts w:ascii="仿宋_GB2312" w:eastAsia="仿宋_GB2312" w:hAnsi="宋体" w:cs="仿宋_GB2312"/>
          <w:bCs/>
          <w:color w:val="000000"/>
          <w:sz w:val="32"/>
          <w:szCs w:val="32"/>
        </w:rPr>
      </w:pPr>
    </w:p>
    <w:sectPr w:rsidR="00242DB3" w:rsidRPr="003977C0" w:rsidSect="00C10DE8">
      <w:pgSz w:w="11906" w:h="16838"/>
      <w:pgMar w:top="2098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6E3" w:rsidRDefault="000736E3" w:rsidP="00F87E8F">
      <w:r>
        <w:separator/>
      </w:r>
    </w:p>
  </w:endnote>
  <w:endnote w:type="continuationSeparator" w:id="0">
    <w:p w:rsidR="000736E3" w:rsidRDefault="000736E3" w:rsidP="00F8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6E3" w:rsidRDefault="000736E3" w:rsidP="00F87E8F">
      <w:r>
        <w:separator/>
      </w:r>
    </w:p>
  </w:footnote>
  <w:footnote w:type="continuationSeparator" w:id="0">
    <w:p w:rsidR="000736E3" w:rsidRDefault="000736E3" w:rsidP="00F87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E8"/>
    <w:rsid w:val="00015CC3"/>
    <w:rsid w:val="000329DF"/>
    <w:rsid w:val="00064251"/>
    <w:rsid w:val="000736E3"/>
    <w:rsid w:val="000A6D3B"/>
    <w:rsid w:val="001632B6"/>
    <w:rsid w:val="001900C7"/>
    <w:rsid w:val="00242DB3"/>
    <w:rsid w:val="002B2FCF"/>
    <w:rsid w:val="002B46FE"/>
    <w:rsid w:val="00302ABB"/>
    <w:rsid w:val="003977C0"/>
    <w:rsid w:val="003D6FDC"/>
    <w:rsid w:val="00457489"/>
    <w:rsid w:val="006E074C"/>
    <w:rsid w:val="00A30C65"/>
    <w:rsid w:val="00C10DE8"/>
    <w:rsid w:val="00DF7900"/>
    <w:rsid w:val="00E246B4"/>
    <w:rsid w:val="00E55D3B"/>
    <w:rsid w:val="00F8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DAFBE4-1039-4527-A767-5CA474D4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E8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E8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200</Words>
  <Characters>1140</Characters>
  <Application>Microsoft Office Word</Application>
  <DocSecurity>0</DocSecurity>
  <Lines>9</Lines>
  <Paragraphs>2</Paragraphs>
  <ScaleCrop>false</ScaleCrop>
  <Company>国家统计局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7</cp:revision>
  <dcterms:created xsi:type="dcterms:W3CDTF">2026-04-20T05:32:00Z</dcterms:created>
  <dcterms:modified xsi:type="dcterms:W3CDTF">2026-04-24T06:41:00Z</dcterms:modified>
</cp:coreProperties>
</file>