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AA41C" w14:textId="11CD1606" w:rsidR="00505BA0" w:rsidRDefault="00505BA0" w:rsidP="00505BA0">
      <w:pPr>
        <w:widowControl/>
        <w:spacing w:line="480" w:lineRule="atLeast"/>
        <w:jc w:val="center"/>
        <w:rPr>
          <w:rFonts w:ascii="Arial" w:eastAsia="宋体" w:hAnsi="Arial" w:cs="Arial"/>
          <w:color w:val="000000"/>
          <w:kern w:val="0"/>
          <w:sz w:val="24"/>
          <w:szCs w:val="24"/>
        </w:rPr>
      </w:pPr>
      <w:r w:rsidRPr="00505BA0">
        <w:rPr>
          <w:rFonts w:ascii="Arial" w:eastAsia="宋体" w:hAnsi="Arial" w:cs="Arial" w:hint="eastAsia"/>
          <w:color w:val="000000"/>
          <w:kern w:val="0"/>
          <w:sz w:val="24"/>
          <w:szCs w:val="24"/>
        </w:rPr>
        <w:t>关于转发国家统计局《企业统计信用管理办法（试行）》的通知</w:t>
      </w:r>
    </w:p>
    <w:p w14:paraId="050641AC" w14:textId="177E0536" w:rsidR="00505BA0" w:rsidRPr="00505BA0" w:rsidRDefault="00505BA0" w:rsidP="00505BA0">
      <w:pPr>
        <w:widowControl/>
        <w:spacing w:line="480" w:lineRule="atLeast"/>
        <w:jc w:val="center"/>
        <w:rPr>
          <w:rFonts w:ascii="Arial" w:eastAsia="宋体" w:hAnsi="Arial" w:cs="Arial"/>
          <w:color w:val="000000"/>
          <w:kern w:val="0"/>
          <w:sz w:val="24"/>
          <w:szCs w:val="24"/>
        </w:rPr>
      </w:pPr>
      <w:proofErr w:type="gramStart"/>
      <w:r w:rsidRPr="00505BA0">
        <w:rPr>
          <w:rFonts w:ascii="Arial" w:eastAsia="宋体" w:hAnsi="Arial" w:cs="Arial"/>
          <w:color w:val="000000"/>
          <w:kern w:val="0"/>
          <w:sz w:val="24"/>
          <w:szCs w:val="24"/>
        </w:rPr>
        <w:t>鲁统字</w:t>
      </w:r>
      <w:proofErr w:type="gramEnd"/>
      <w:r w:rsidRPr="00505BA0">
        <w:rPr>
          <w:rFonts w:ascii="Arial" w:eastAsia="宋体" w:hAnsi="Arial" w:cs="Arial"/>
          <w:color w:val="000000"/>
          <w:kern w:val="0"/>
          <w:sz w:val="24"/>
          <w:szCs w:val="24"/>
        </w:rPr>
        <w:t>〔</w:t>
      </w:r>
      <w:r w:rsidRPr="00505BA0">
        <w:rPr>
          <w:rFonts w:ascii="Arial" w:eastAsia="宋体" w:hAnsi="Arial" w:cs="Arial"/>
          <w:color w:val="000000"/>
          <w:kern w:val="0"/>
          <w:sz w:val="24"/>
          <w:szCs w:val="24"/>
        </w:rPr>
        <w:t>2017</w:t>
      </w:r>
      <w:r w:rsidRPr="00505BA0">
        <w:rPr>
          <w:rFonts w:ascii="Arial" w:eastAsia="宋体" w:hAnsi="Arial" w:cs="Arial"/>
          <w:color w:val="000000"/>
          <w:kern w:val="0"/>
          <w:sz w:val="24"/>
          <w:szCs w:val="24"/>
        </w:rPr>
        <w:t>〕</w:t>
      </w:r>
      <w:r w:rsidRPr="00505BA0">
        <w:rPr>
          <w:rFonts w:ascii="Arial" w:eastAsia="宋体" w:hAnsi="Arial" w:cs="Arial"/>
          <w:color w:val="000000"/>
          <w:kern w:val="0"/>
          <w:sz w:val="24"/>
          <w:szCs w:val="24"/>
        </w:rPr>
        <w:t>143</w:t>
      </w:r>
      <w:r w:rsidRPr="00505BA0">
        <w:rPr>
          <w:rFonts w:ascii="Arial" w:eastAsia="宋体" w:hAnsi="Arial" w:cs="Arial"/>
          <w:color w:val="000000"/>
          <w:kern w:val="0"/>
          <w:sz w:val="24"/>
          <w:szCs w:val="24"/>
        </w:rPr>
        <w:t>号</w:t>
      </w:r>
    </w:p>
    <w:p w14:paraId="5C1222B9"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各市统计局：</w:t>
      </w:r>
    </w:p>
    <w:p w14:paraId="3ECAF8BC"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为推进统计领域诚信建设，引导企业依法统计、诚信统计，现将国家统计局《企业统计信用管理办法（试行）》（国统字〔</w:t>
      </w:r>
      <w:r w:rsidRPr="00505BA0">
        <w:rPr>
          <w:rFonts w:ascii="Arial" w:eastAsia="宋体" w:hAnsi="Arial" w:cs="Arial"/>
          <w:color w:val="000000"/>
          <w:kern w:val="0"/>
          <w:sz w:val="24"/>
          <w:szCs w:val="24"/>
        </w:rPr>
        <w:t>2017</w:t>
      </w:r>
      <w:r w:rsidRPr="00505BA0">
        <w:rPr>
          <w:rFonts w:ascii="Arial" w:eastAsia="宋体" w:hAnsi="Arial" w:cs="Arial"/>
          <w:color w:val="000000"/>
          <w:kern w:val="0"/>
          <w:sz w:val="24"/>
          <w:szCs w:val="24"/>
        </w:rPr>
        <w:t>〕</w:t>
      </w:r>
      <w:r w:rsidRPr="00505BA0">
        <w:rPr>
          <w:rFonts w:ascii="Arial" w:eastAsia="宋体" w:hAnsi="Arial" w:cs="Arial"/>
          <w:color w:val="000000"/>
          <w:kern w:val="0"/>
          <w:sz w:val="24"/>
          <w:szCs w:val="24"/>
        </w:rPr>
        <w:t>97</w:t>
      </w:r>
      <w:r w:rsidRPr="00505BA0">
        <w:rPr>
          <w:rFonts w:ascii="Arial" w:eastAsia="宋体" w:hAnsi="Arial" w:cs="Arial"/>
          <w:color w:val="000000"/>
          <w:kern w:val="0"/>
          <w:sz w:val="24"/>
          <w:szCs w:val="24"/>
        </w:rPr>
        <w:t>号，以下简称《办法》）转发你们，请认真贯彻落实。</w:t>
      </w:r>
    </w:p>
    <w:p w14:paraId="0BB522DC"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一、充分认识《办法》现实指导意义</w:t>
      </w:r>
    </w:p>
    <w:p w14:paraId="3F070E3D"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《办法》充分体现了党中央、国务院关于深化统计管理体制改革，提高统计数据真实性的重大举措，是贯彻落</w:t>
      </w:r>
      <w:proofErr w:type="gramStart"/>
      <w:r w:rsidRPr="00505BA0">
        <w:rPr>
          <w:rFonts w:ascii="Arial" w:eastAsia="宋体" w:hAnsi="Arial" w:cs="Arial"/>
          <w:color w:val="000000"/>
          <w:kern w:val="0"/>
          <w:sz w:val="24"/>
          <w:szCs w:val="24"/>
        </w:rPr>
        <w:t>实习近</w:t>
      </w:r>
      <w:proofErr w:type="gramEnd"/>
      <w:r w:rsidRPr="00505BA0">
        <w:rPr>
          <w:rFonts w:ascii="Arial" w:eastAsia="宋体" w:hAnsi="Arial" w:cs="Arial"/>
          <w:color w:val="000000"/>
          <w:kern w:val="0"/>
          <w:sz w:val="24"/>
          <w:szCs w:val="24"/>
        </w:rPr>
        <w:t>平总书记关于统计工作重要指示批示精神的具体措施，是加强社会信用体系建设的指导性文件，对规范、引导、保障和推动统计事业健康发展，提高统计数据质量和统计服务水平提供了重要保障。</w:t>
      </w:r>
    </w:p>
    <w:p w14:paraId="0CBA1C78"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二、严格落实《办法》的各项规定要求</w:t>
      </w:r>
    </w:p>
    <w:p w14:paraId="5AE2E70F"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各单位要按照上级统一部署，负责采集并及时更新由其组织实施的统计调查活动中的企业统计信用信息，准确认定企业统计信用状况，依法依规公示企业统计失信情况。做好与同级有关部门建立合作机制，推进信用信息互认互通、信息共享等工作。</w:t>
      </w:r>
    </w:p>
    <w:p w14:paraId="4DC6FE85"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三、加强对《办法》的教育宣传工作</w:t>
      </w:r>
    </w:p>
    <w:p w14:paraId="661F0683"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加强对统计调查对象和广大企业统计人员的教育宣传，确保企业负责人和统计人员能够及时了解《办法》的要求，积极配合各级统计机构依照《办法》规范统计调查工作，推动《办法》落地生根。</w:t>
      </w:r>
    </w:p>
    <w:p w14:paraId="4F49B365"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w:t>
      </w:r>
    </w:p>
    <w:p w14:paraId="5974016E"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w:t>
      </w:r>
    </w:p>
    <w:p w14:paraId="5267CDB3" w14:textId="77777777" w:rsidR="00505BA0" w:rsidRPr="00505BA0" w:rsidRDefault="00505BA0" w:rsidP="00505BA0">
      <w:pPr>
        <w:widowControl/>
        <w:spacing w:line="480" w:lineRule="atLeast"/>
        <w:jc w:val="right"/>
        <w:rPr>
          <w:rFonts w:ascii="Arial" w:eastAsia="宋体" w:hAnsi="Arial" w:cs="Arial"/>
          <w:color w:val="000000"/>
          <w:kern w:val="0"/>
          <w:sz w:val="24"/>
          <w:szCs w:val="24"/>
        </w:rPr>
      </w:pPr>
      <w:r w:rsidRPr="00505BA0">
        <w:rPr>
          <w:rFonts w:ascii="Arial" w:eastAsia="宋体" w:hAnsi="Arial" w:cs="Arial"/>
          <w:color w:val="000000"/>
          <w:kern w:val="0"/>
          <w:sz w:val="24"/>
          <w:szCs w:val="24"/>
        </w:rPr>
        <w:t>山东省统计局</w:t>
      </w:r>
      <w:r w:rsidRPr="00505BA0">
        <w:rPr>
          <w:rFonts w:ascii="Arial" w:eastAsia="宋体" w:hAnsi="Arial" w:cs="Arial"/>
          <w:color w:val="000000"/>
          <w:kern w:val="0"/>
          <w:sz w:val="24"/>
          <w:szCs w:val="24"/>
        </w:rPr>
        <w:t> </w:t>
      </w:r>
    </w:p>
    <w:p w14:paraId="734B25B7" w14:textId="77777777" w:rsidR="00505BA0" w:rsidRPr="00505BA0" w:rsidRDefault="00505BA0" w:rsidP="00505BA0">
      <w:pPr>
        <w:widowControl/>
        <w:spacing w:line="480" w:lineRule="atLeast"/>
        <w:jc w:val="right"/>
        <w:rPr>
          <w:rFonts w:ascii="Arial" w:eastAsia="宋体" w:hAnsi="Arial" w:cs="Arial"/>
          <w:color w:val="000000"/>
          <w:kern w:val="0"/>
          <w:sz w:val="24"/>
          <w:szCs w:val="24"/>
        </w:rPr>
      </w:pPr>
      <w:r w:rsidRPr="00505BA0">
        <w:rPr>
          <w:rFonts w:ascii="Arial" w:eastAsia="宋体" w:hAnsi="Arial" w:cs="Arial"/>
          <w:color w:val="000000"/>
          <w:kern w:val="0"/>
          <w:sz w:val="24"/>
          <w:szCs w:val="24"/>
        </w:rPr>
        <w:t>2017</w:t>
      </w:r>
      <w:r w:rsidRPr="00505BA0">
        <w:rPr>
          <w:rFonts w:ascii="Arial" w:eastAsia="宋体" w:hAnsi="Arial" w:cs="Arial"/>
          <w:color w:val="000000"/>
          <w:kern w:val="0"/>
          <w:sz w:val="24"/>
          <w:szCs w:val="24"/>
        </w:rPr>
        <w:t>年</w:t>
      </w:r>
      <w:r w:rsidRPr="00505BA0">
        <w:rPr>
          <w:rFonts w:ascii="Arial" w:eastAsia="宋体" w:hAnsi="Arial" w:cs="Arial"/>
          <w:color w:val="000000"/>
          <w:kern w:val="0"/>
          <w:sz w:val="24"/>
          <w:szCs w:val="24"/>
        </w:rPr>
        <w:t>12</w:t>
      </w:r>
      <w:r w:rsidRPr="00505BA0">
        <w:rPr>
          <w:rFonts w:ascii="Arial" w:eastAsia="宋体" w:hAnsi="Arial" w:cs="Arial"/>
          <w:color w:val="000000"/>
          <w:kern w:val="0"/>
          <w:sz w:val="24"/>
          <w:szCs w:val="24"/>
        </w:rPr>
        <w:t>月</w:t>
      </w:r>
      <w:r w:rsidRPr="00505BA0">
        <w:rPr>
          <w:rFonts w:ascii="Arial" w:eastAsia="宋体" w:hAnsi="Arial" w:cs="Arial"/>
          <w:color w:val="000000"/>
          <w:kern w:val="0"/>
          <w:sz w:val="24"/>
          <w:szCs w:val="24"/>
        </w:rPr>
        <w:t>13</w:t>
      </w:r>
      <w:r w:rsidRPr="00505BA0">
        <w:rPr>
          <w:rFonts w:ascii="Arial" w:eastAsia="宋体" w:hAnsi="Arial" w:cs="Arial"/>
          <w:color w:val="000000"/>
          <w:kern w:val="0"/>
          <w:sz w:val="24"/>
          <w:szCs w:val="24"/>
        </w:rPr>
        <w:t>日</w:t>
      </w:r>
    </w:p>
    <w:p w14:paraId="24F2C795"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w:t>
      </w:r>
    </w:p>
    <w:p w14:paraId="10DF5A67" w14:textId="77777777" w:rsidR="00505BA0" w:rsidRPr="00505BA0" w:rsidRDefault="00505BA0" w:rsidP="00505BA0">
      <w:pPr>
        <w:widowControl/>
        <w:spacing w:line="480" w:lineRule="atLeast"/>
        <w:jc w:val="center"/>
        <w:rPr>
          <w:rFonts w:ascii="Arial" w:eastAsia="宋体" w:hAnsi="Arial" w:cs="Arial"/>
          <w:color w:val="000000"/>
          <w:kern w:val="0"/>
          <w:sz w:val="24"/>
          <w:szCs w:val="24"/>
        </w:rPr>
      </w:pPr>
      <w:r w:rsidRPr="00505BA0">
        <w:rPr>
          <w:rFonts w:ascii="Arial" w:eastAsia="宋体" w:hAnsi="Arial" w:cs="Arial"/>
          <w:color w:val="000000"/>
          <w:kern w:val="0"/>
          <w:sz w:val="24"/>
          <w:szCs w:val="24"/>
        </w:rPr>
        <w:t>企业统计信用管理办法（试行）</w:t>
      </w:r>
    </w:p>
    <w:p w14:paraId="639BC887"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第一条　为贯彻落实中央《关于深化统计管理体制改革提高统计数据真实性的意见》文件的要求，推进统计领域诚信建设，引导企业依法统计、诚信统</w:t>
      </w:r>
      <w:r w:rsidRPr="00505BA0">
        <w:rPr>
          <w:rFonts w:ascii="Arial" w:eastAsia="宋体" w:hAnsi="Arial" w:cs="Arial"/>
          <w:color w:val="000000"/>
          <w:kern w:val="0"/>
          <w:sz w:val="24"/>
          <w:szCs w:val="24"/>
        </w:rPr>
        <w:lastRenderedPageBreak/>
        <w:t>计，提高统计数据真实性，根据《中华人民共和国统计法》《社会信用体系建设规划纲要（</w:t>
      </w:r>
      <w:r w:rsidRPr="00505BA0">
        <w:rPr>
          <w:rFonts w:ascii="Arial" w:eastAsia="宋体" w:hAnsi="Arial" w:cs="Arial"/>
          <w:color w:val="000000"/>
          <w:kern w:val="0"/>
          <w:sz w:val="24"/>
          <w:szCs w:val="24"/>
        </w:rPr>
        <w:t>2014-2020</w:t>
      </w:r>
      <w:r w:rsidRPr="00505BA0">
        <w:rPr>
          <w:rFonts w:ascii="Arial" w:eastAsia="宋体" w:hAnsi="Arial" w:cs="Arial"/>
          <w:color w:val="000000"/>
          <w:kern w:val="0"/>
          <w:sz w:val="24"/>
          <w:szCs w:val="24"/>
        </w:rPr>
        <w:t>年）》《国务院关于建立完善守信联合激励和失信联合惩戒制度加快推进社会诚信建设的指导意见》及其他有关规定，制定本办法。</w:t>
      </w:r>
    </w:p>
    <w:p w14:paraId="6A68DC33"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第二条　本办法所称企业统计信用管理，是指县级以上人民政府统计机构对企业统计信用信息开展的采集、认定、公示和共享等管理活动。</w:t>
      </w:r>
    </w:p>
    <w:p w14:paraId="53D485B7"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企业统计信用信息是指县级以上人民政府统计机构在统计调查、业务管理和执法检查等履职过程中获取或制作的企业信息，具体是指：</w:t>
      </w:r>
    </w:p>
    <w:p w14:paraId="1B1A9A9E"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（一）企业基本信息，包括企业名称、地址、统一社会信用代码、法定代表人或主要负责人；</w:t>
      </w:r>
    </w:p>
    <w:p w14:paraId="66AA70C5"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（二）遵守统计法律法规规章和国家有关规定情况；</w:t>
      </w:r>
    </w:p>
    <w:p w14:paraId="33B51972"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（三）提供统计工作的组织、人员和工作条件保障情况；</w:t>
      </w:r>
    </w:p>
    <w:p w14:paraId="459E0920"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（四）执行统计调查制度情况；</w:t>
      </w:r>
    </w:p>
    <w:p w14:paraId="5AD0DAE1"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（五）依法提供统计资料及其质量情况；</w:t>
      </w:r>
    </w:p>
    <w:p w14:paraId="1969C3CE"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（六）统计违法行为及处理情况；</w:t>
      </w:r>
    </w:p>
    <w:p w14:paraId="0989760E"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（七）其他与统计信用相关的信息。</w:t>
      </w:r>
    </w:p>
    <w:p w14:paraId="79829DBF"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第三条　本办法适用于承担法定的政府统计资料报送义务的企业。</w:t>
      </w:r>
    </w:p>
    <w:p w14:paraId="22EA9E1A"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第四条　企业统计信用管理应当遵循真实准确、客观公正的原则。</w:t>
      </w:r>
    </w:p>
    <w:p w14:paraId="1DC00CB6"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第五条　国家统计局负责全国企业统计信用管理工作，建立全国统一的企业统计信用信息管理系统，指导、监督全国企业统计信用管理工作。</w:t>
      </w:r>
    </w:p>
    <w:p w14:paraId="6BB45D9C"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省级统计机构负责建立健全本行政区域企业统计信用信息管理制度，组织、规范和监督本行政区域企业统计信用信息的采集、认定、公示和共享等工作。</w:t>
      </w:r>
    </w:p>
    <w:p w14:paraId="01780C0F"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市级、县级统计机构应当按照本办法以及省级统计机构的部署，负责采集并及时更新由其组织实施的统计调查活动中的企业统计信用信息，认定企业统计信用状况，依法依规公示企业统计失信情况。</w:t>
      </w:r>
    </w:p>
    <w:p w14:paraId="75733B97"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国家统计局派出调查机构负责其组织实施的统计调查活动中所涉企业统计信用管理工作，及时将负责采集、认定的企业统计信用状况与所在地有关部门共享。</w:t>
      </w:r>
    </w:p>
    <w:p w14:paraId="60C20D23"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lastRenderedPageBreak/>
        <w:t xml:space="preserve">　　第六条　企业统计信用状况分为统计守信企业、统计信用异常企业、统计一般失信企业和统计严重失信企业，实施分类、动态管理。</w:t>
      </w:r>
    </w:p>
    <w:p w14:paraId="0F7ED1B5"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第七条　企业统计信用状况的认定实行谁认定、谁公示、谁负责的原则。</w:t>
      </w:r>
    </w:p>
    <w:p w14:paraId="0F3FC601"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国家统计局、省级统计机构可以根据统计执法检查、统计数据核查等方式获取的企业统计信用信息，直接认定企业的统计信用状况。</w:t>
      </w:r>
    </w:p>
    <w:p w14:paraId="1C9BBF26"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第八条　同时具备下列条件的企业，认定为统计守信企业：</w:t>
      </w:r>
    </w:p>
    <w:p w14:paraId="1E00E3C8"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（一）为履行法定的统计资料报送义务提供组织、人员和工作条件保障；</w:t>
      </w:r>
    </w:p>
    <w:p w14:paraId="232F345E"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（二）按照国家有关规定设置原始记录、统计台账，建立健全统计资料的审核、签署、交接、归档等管理制度；</w:t>
      </w:r>
    </w:p>
    <w:p w14:paraId="64F8C347"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（三）执行统计调查制度，真实、准确、完整、及时地提供统计调查所需资料；</w:t>
      </w:r>
    </w:p>
    <w:p w14:paraId="36685F6C"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（四）积极配合统计执法检查和统计数据核查；</w:t>
      </w:r>
    </w:p>
    <w:p w14:paraId="5D2189E6"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（五）未被其他部门列入联合惩戒失信名单，未发现有任何违反统计法律法规和统计调查制度的行为。</w:t>
      </w:r>
    </w:p>
    <w:p w14:paraId="6AB42A53"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第九条　有下列情形之一的企业，认定为统计信用异常企业：</w:t>
      </w:r>
    </w:p>
    <w:p w14:paraId="1CC88FF7"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（一）未按照法定的统计资料报送义务提供组织、人员和工作条件保障；</w:t>
      </w:r>
    </w:p>
    <w:p w14:paraId="5547BA17"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（二）未按照国家有关规定设置原始记录、统计台账，未建立健全统计资料的审核、签署、交接、归档等管理制度；</w:t>
      </w:r>
    </w:p>
    <w:p w14:paraId="3BBAE982"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（三）迟报统计资料；</w:t>
      </w:r>
    </w:p>
    <w:p w14:paraId="0C9D0250"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（四）统计资料报送异常且不能做出合理解释；</w:t>
      </w:r>
    </w:p>
    <w:p w14:paraId="7E6E619E"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（五）通过登记的住所或者经营场所无法联系。</w:t>
      </w:r>
    </w:p>
    <w:p w14:paraId="6BA3F131"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第十条　有下列情形之一的企业，认定为统计一般失信企业：</w:t>
      </w:r>
    </w:p>
    <w:p w14:paraId="0B68DC51"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（一）提供不真实统计资料，违法数额占应报数额比例较低，违法数额较小；</w:t>
      </w:r>
    </w:p>
    <w:p w14:paraId="50D8B81C"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（二）拒绝、阻碍统计调查、统计检查；</w:t>
      </w:r>
    </w:p>
    <w:p w14:paraId="251BFC37"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（三）多次迟报统计资料；</w:t>
      </w:r>
    </w:p>
    <w:p w14:paraId="3DA78EFD"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（四）被统计机构行政处罚后，一年内未按照《企业信息公示暂行条例》自行公示。</w:t>
      </w:r>
    </w:p>
    <w:p w14:paraId="602564E9"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第十一条　有下列情形之一的企业，认定为统计严重失信企业：</w:t>
      </w:r>
    </w:p>
    <w:p w14:paraId="159D3928"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lastRenderedPageBreak/>
        <w:t xml:space="preserve">　　（一）编造虚假统计数据；</w:t>
      </w:r>
    </w:p>
    <w:p w14:paraId="4BA66655"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（二）提供不真实统计资料，违法数额占应报数额比例较高，违法数额较大；</w:t>
      </w:r>
    </w:p>
    <w:p w14:paraId="49B0AA90"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（三）拒绝、阻碍统计调查、统计检查，情节严重；</w:t>
      </w:r>
    </w:p>
    <w:p w14:paraId="198C2E6E"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（四）转移、隐匿、篡改、毁弃或者拒绝提供原始记录和凭证、统计台账、统计调查表及其他相关证明和资料；</w:t>
      </w:r>
    </w:p>
    <w:p w14:paraId="31DDFCD1"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（五）有其他严重统计违法行为，应当受到行政处罚。</w:t>
      </w:r>
    </w:p>
    <w:p w14:paraId="2C38A303"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第十二条　认定机构将企业认定为统计信用异常、统计一般失信、统计严重失信的，应当</w:t>
      </w:r>
      <w:proofErr w:type="gramStart"/>
      <w:r w:rsidRPr="00505BA0">
        <w:rPr>
          <w:rFonts w:ascii="Arial" w:eastAsia="宋体" w:hAnsi="Arial" w:cs="Arial"/>
          <w:color w:val="000000"/>
          <w:kern w:val="0"/>
          <w:sz w:val="24"/>
          <w:szCs w:val="24"/>
        </w:rPr>
        <w:t>作出</w:t>
      </w:r>
      <w:proofErr w:type="gramEnd"/>
      <w:r w:rsidRPr="00505BA0">
        <w:rPr>
          <w:rFonts w:ascii="Arial" w:eastAsia="宋体" w:hAnsi="Arial" w:cs="Arial"/>
          <w:color w:val="000000"/>
          <w:kern w:val="0"/>
          <w:sz w:val="24"/>
          <w:szCs w:val="24"/>
        </w:rPr>
        <w:t>认定决定。认定决定包括企业名称、统一社会信用代码、认定日期、认定事由、</w:t>
      </w:r>
      <w:proofErr w:type="gramStart"/>
      <w:r w:rsidRPr="00505BA0">
        <w:rPr>
          <w:rFonts w:ascii="Arial" w:eastAsia="宋体" w:hAnsi="Arial" w:cs="Arial"/>
          <w:color w:val="000000"/>
          <w:kern w:val="0"/>
          <w:sz w:val="24"/>
          <w:szCs w:val="24"/>
        </w:rPr>
        <w:t>作出</w:t>
      </w:r>
      <w:proofErr w:type="gramEnd"/>
      <w:r w:rsidRPr="00505BA0">
        <w:rPr>
          <w:rFonts w:ascii="Arial" w:eastAsia="宋体" w:hAnsi="Arial" w:cs="Arial"/>
          <w:color w:val="000000"/>
          <w:kern w:val="0"/>
          <w:sz w:val="24"/>
          <w:szCs w:val="24"/>
        </w:rPr>
        <w:t>认定决定机构。</w:t>
      </w:r>
    </w:p>
    <w:p w14:paraId="13D26FB4"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第十三条　认定机构应当自</w:t>
      </w:r>
      <w:proofErr w:type="gramStart"/>
      <w:r w:rsidRPr="00505BA0">
        <w:rPr>
          <w:rFonts w:ascii="Arial" w:eastAsia="宋体" w:hAnsi="Arial" w:cs="Arial"/>
          <w:color w:val="000000"/>
          <w:kern w:val="0"/>
          <w:sz w:val="24"/>
          <w:szCs w:val="24"/>
        </w:rPr>
        <w:t>作出</w:t>
      </w:r>
      <w:proofErr w:type="gramEnd"/>
      <w:r w:rsidRPr="00505BA0">
        <w:rPr>
          <w:rFonts w:ascii="Arial" w:eastAsia="宋体" w:hAnsi="Arial" w:cs="Arial"/>
          <w:color w:val="000000"/>
          <w:kern w:val="0"/>
          <w:sz w:val="24"/>
          <w:szCs w:val="24"/>
        </w:rPr>
        <w:t>认定决定之日起</w:t>
      </w:r>
      <w:r w:rsidRPr="00505BA0">
        <w:rPr>
          <w:rFonts w:ascii="Arial" w:eastAsia="宋体" w:hAnsi="Arial" w:cs="Arial"/>
          <w:color w:val="000000"/>
          <w:kern w:val="0"/>
          <w:sz w:val="24"/>
          <w:szCs w:val="24"/>
        </w:rPr>
        <w:t>10</w:t>
      </w:r>
      <w:r w:rsidRPr="00505BA0">
        <w:rPr>
          <w:rFonts w:ascii="Arial" w:eastAsia="宋体" w:hAnsi="Arial" w:cs="Arial"/>
          <w:color w:val="000000"/>
          <w:kern w:val="0"/>
          <w:sz w:val="24"/>
          <w:szCs w:val="24"/>
        </w:rPr>
        <w:t>个工作日内，书面向被认定为统计信用异常、统计一般失信、统计严重失信的企业告知所被认定的事实、理由、依据以及享有陈述、申辩的权力。</w:t>
      </w:r>
    </w:p>
    <w:p w14:paraId="0B13F60E"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通过登记的住所或者经营场所无法联系的企业，可以通过邮寄信函的方式与企业联系。经向企业登记的住所或者经营场所两次邮寄无人签收的，视为通过登记的住所或者经营场所无法取得联系。两次邮寄间隔时间不得少于</w:t>
      </w:r>
      <w:r w:rsidRPr="00505BA0">
        <w:rPr>
          <w:rFonts w:ascii="Arial" w:eastAsia="宋体" w:hAnsi="Arial" w:cs="Arial"/>
          <w:color w:val="000000"/>
          <w:kern w:val="0"/>
          <w:sz w:val="24"/>
          <w:szCs w:val="24"/>
        </w:rPr>
        <w:t>15</w:t>
      </w:r>
      <w:r w:rsidRPr="00505BA0">
        <w:rPr>
          <w:rFonts w:ascii="Arial" w:eastAsia="宋体" w:hAnsi="Arial" w:cs="Arial"/>
          <w:color w:val="000000"/>
          <w:kern w:val="0"/>
          <w:sz w:val="24"/>
          <w:szCs w:val="24"/>
        </w:rPr>
        <w:t>日，不得超过</w:t>
      </w:r>
      <w:r w:rsidRPr="00505BA0">
        <w:rPr>
          <w:rFonts w:ascii="Arial" w:eastAsia="宋体" w:hAnsi="Arial" w:cs="Arial"/>
          <w:color w:val="000000"/>
          <w:kern w:val="0"/>
          <w:sz w:val="24"/>
          <w:szCs w:val="24"/>
        </w:rPr>
        <w:t>30</w:t>
      </w:r>
      <w:r w:rsidRPr="00505BA0">
        <w:rPr>
          <w:rFonts w:ascii="Arial" w:eastAsia="宋体" w:hAnsi="Arial" w:cs="Arial"/>
          <w:color w:val="000000"/>
          <w:kern w:val="0"/>
          <w:sz w:val="24"/>
          <w:szCs w:val="24"/>
        </w:rPr>
        <w:t>日。</w:t>
      </w:r>
    </w:p>
    <w:p w14:paraId="17D32A44"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第十四条　认定机构应当自</w:t>
      </w:r>
      <w:proofErr w:type="gramStart"/>
      <w:r w:rsidRPr="00505BA0">
        <w:rPr>
          <w:rFonts w:ascii="Arial" w:eastAsia="宋体" w:hAnsi="Arial" w:cs="Arial"/>
          <w:color w:val="000000"/>
          <w:kern w:val="0"/>
          <w:sz w:val="24"/>
          <w:szCs w:val="24"/>
        </w:rPr>
        <w:t>作出</w:t>
      </w:r>
      <w:proofErr w:type="gramEnd"/>
      <w:r w:rsidRPr="00505BA0">
        <w:rPr>
          <w:rFonts w:ascii="Arial" w:eastAsia="宋体" w:hAnsi="Arial" w:cs="Arial"/>
          <w:color w:val="000000"/>
          <w:kern w:val="0"/>
          <w:sz w:val="24"/>
          <w:szCs w:val="24"/>
        </w:rPr>
        <w:t>统计一般失信和统计严重失信决定之日起</w:t>
      </w:r>
      <w:r w:rsidRPr="00505BA0">
        <w:rPr>
          <w:rFonts w:ascii="Arial" w:eastAsia="宋体" w:hAnsi="Arial" w:cs="Arial"/>
          <w:color w:val="000000"/>
          <w:kern w:val="0"/>
          <w:sz w:val="24"/>
          <w:szCs w:val="24"/>
        </w:rPr>
        <w:t>20</w:t>
      </w:r>
      <w:r w:rsidRPr="00505BA0">
        <w:rPr>
          <w:rFonts w:ascii="Arial" w:eastAsia="宋体" w:hAnsi="Arial" w:cs="Arial"/>
          <w:color w:val="000000"/>
          <w:kern w:val="0"/>
          <w:sz w:val="24"/>
          <w:szCs w:val="24"/>
        </w:rPr>
        <w:t>个工作日内向社会公示。公示信息包括企业名称、地址、统一社会信用代码、法定代表人或者主要负责人、统计违法行为、依法处理情况等。</w:t>
      </w:r>
    </w:p>
    <w:p w14:paraId="1B092881"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公示企业信用信息不得涉及国家秘密，不得危害国家安全和社会公共利益。</w:t>
      </w:r>
    </w:p>
    <w:p w14:paraId="4963A060"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第十五条　国家统计局在其网站建立统计失信企业信息公示专栏，并与</w:t>
      </w:r>
      <w:r w:rsidRPr="00505BA0">
        <w:rPr>
          <w:rFonts w:ascii="Arial" w:eastAsia="宋体" w:hAnsi="Arial" w:cs="Arial"/>
          <w:color w:val="000000"/>
          <w:kern w:val="0"/>
          <w:sz w:val="24"/>
          <w:szCs w:val="24"/>
        </w:rPr>
        <w:t>&amp;</w:t>
      </w:r>
      <w:proofErr w:type="spellStart"/>
      <w:r w:rsidRPr="00505BA0">
        <w:rPr>
          <w:rFonts w:ascii="Arial" w:eastAsia="宋体" w:hAnsi="Arial" w:cs="Arial"/>
          <w:color w:val="000000"/>
          <w:kern w:val="0"/>
          <w:sz w:val="24"/>
          <w:szCs w:val="24"/>
        </w:rPr>
        <w:t>ldquo</w:t>
      </w:r>
      <w:proofErr w:type="spellEnd"/>
      <w:r w:rsidRPr="00505BA0">
        <w:rPr>
          <w:rFonts w:ascii="Arial" w:eastAsia="宋体" w:hAnsi="Arial" w:cs="Arial"/>
          <w:color w:val="000000"/>
          <w:kern w:val="0"/>
          <w:sz w:val="24"/>
          <w:szCs w:val="24"/>
        </w:rPr>
        <w:t>;</w:t>
      </w:r>
      <w:r w:rsidRPr="00505BA0">
        <w:rPr>
          <w:rFonts w:ascii="Arial" w:eastAsia="宋体" w:hAnsi="Arial" w:cs="Arial"/>
          <w:color w:val="000000"/>
          <w:kern w:val="0"/>
          <w:sz w:val="24"/>
          <w:szCs w:val="24"/>
        </w:rPr>
        <w:t>信用中国</w:t>
      </w:r>
      <w:r w:rsidRPr="00505BA0">
        <w:rPr>
          <w:rFonts w:ascii="Arial" w:eastAsia="宋体" w:hAnsi="Arial" w:cs="Arial"/>
          <w:color w:val="000000"/>
          <w:kern w:val="0"/>
          <w:sz w:val="24"/>
          <w:szCs w:val="24"/>
        </w:rPr>
        <w:t>&amp;</w:t>
      </w:r>
      <w:proofErr w:type="spellStart"/>
      <w:r w:rsidRPr="00505BA0">
        <w:rPr>
          <w:rFonts w:ascii="Arial" w:eastAsia="宋体" w:hAnsi="Arial" w:cs="Arial"/>
          <w:color w:val="000000"/>
          <w:kern w:val="0"/>
          <w:sz w:val="24"/>
          <w:szCs w:val="24"/>
        </w:rPr>
        <w:t>rdquo</w:t>
      </w:r>
      <w:proofErr w:type="spellEnd"/>
      <w:r w:rsidRPr="00505BA0">
        <w:rPr>
          <w:rFonts w:ascii="Arial" w:eastAsia="宋体" w:hAnsi="Arial" w:cs="Arial"/>
          <w:color w:val="000000"/>
          <w:kern w:val="0"/>
          <w:sz w:val="24"/>
          <w:szCs w:val="24"/>
        </w:rPr>
        <w:t>;</w:t>
      </w:r>
      <w:r w:rsidRPr="00505BA0">
        <w:rPr>
          <w:rFonts w:ascii="Arial" w:eastAsia="宋体" w:hAnsi="Arial" w:cs="Arial"/>
          <w:color w:val="000000"/>
          <w:kern w:val="0"/>
          <w:sz w:val="24"/>
          <w:szCs w:val="24"/>
        </w:rPr>
        <w:t>网站和国家企业信用信息公示系统联通，向社会公示统计一般失信和统计严重失信企业信息。</w:t>
      </w:r>
    </w:p>
    <w:p w14:paraId="0E0C4F9B"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省级统计机构在其网站建立统计失信企业信息公示专栏，公示职责范围内统计一般失信和统计严重失信企业信息，并链接到国家统计局网站统计失信企业信息公示专栏。</w:t>
      </w:r>
    </w:p>
    <w:p w14:paraId="0956A0CA"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lastRenderedPageBreak/>
        <w:t xml:space="preserve">　　市级、县级统计机构应当按照法定职责分工，在本级或者上级统计机构网站向社会公示统计一般失信和统计严重失信企业信息，同时加载到省级统计机构失信企业信息公示专栏。</w:t>
      </w:r>
    </w:p>
    <w:p w14:paraId="5B6310B1"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第十六条　统计一般失信和统计严重失信企业信息公示期限为</w:t>
      </w:r>
      <w:r w:rsidRPr="00505BA0">
        <w:rPr>
          <w:rFonts w:ascii="Arial" w:eastAsia="宋体" w:hAnsi="Arial" w:cs="Arial"/>
          <w:color w:val="000000"/>
          <w:kern w:val="0"/>
          <w:sz w:val="24"/>
          <w:szCs w:val="24"/>
        </w:rPr>
        <w:t>1</w:t>
      </w:r>
      <w:r w:rsidRPr="00505BA0">
        <w:rPr>
          <w:rFonts w:ascii="Arial" w:eastAsia="宋体" w:hAnsi="Arial" w:cs="Arial"/>
          <w:color w:val="000000"/>
          <w:kern w:val="0"/>
          <w:sz w:val="24"/>
          <w:szCs w:val="24"/>
        </w:rPr>
        <w:t>年。公示期间，企业认真整改到位并提出申请，经履行公示职责的统计机构核实后，可以从公示网站提前移除企业信息，但公示时间不得少于</w:t>
      </w:r>
      <w:r w:rsidRPr="00505BA0">
        <w:rPr>
          <w:rFonts w:ascii="Arial" w:eastAsia="宋体" w:hAnsi="Arial" w:cs="Arial"/>
          <w:color w:val="000000"/>
          <w:kern w:val="0"/>
          <w:sz w:val="24"/>
          <w:szCs w:val="24"/>
        </w:rPr>
        <w:t>6</w:t>
      </w:r>
      <w:r w:rsidRPr="00505BA0">
        <w:rPr>
          <w:rFonts w:ascii="Arial" w:eastAsia="宋体" w:hAnsi="Arial" w:cs="Arial"/>
          <w:color w:val="000000"/>
          <w:kern w:val="0"/>
          <w:sz w:val="24"/>
          <w:szCs w:val="24"/>
        </w:rPr>
        <w:t>个月。</w:t>
      </w:r>
    </w:p>
    <w:p w14:paraId="02842FB2"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公示期间，企业整改不到位被查实的，公示期限延长至</w:t>
      </w:r>
      <w:r w:rsidRPr="00505BA0">
        <w:rPr>
          <w:rFonts w:ascii="Arial" w:eastAsia="宋体" w:hAnsi="Arial" w:cs="Arial"/>
          <w:color w:val="000000"/>
          <w:kern w:val="0"/>
          <w:sz w:val="24"/>
          <w:szCs w:val="24"/>
        </w:rPr>
        <w:t>2</w:t>
      </w:r>
      <w:r w:rsidRPr="00505BA0">
        <w:rPr>
          <w:rFonts w:ascii="Arial" w:eastAsia="宋体" w:hAnsi="Arial" w:cs="Arial"/>
          <w:color w:val="000000"/>
          <w:kern w:val="0"/>
          <w:sz w:val="24"/>
          <w:szCs w:val="24"/>
        </w:rPr>
        <w:t>年；再次发生统计违法行为并查实的，自查实之日起，公示</w:t>
      </w:r>
      <w:r w:rsidRPr="00505BA0">
        <w:rPr>
          <w:rFonts w:ascii="Arial" w:eastAsia="宋体" w:hAnsi="Arial" w:cs="Arial"/>
          <w:color w:val="000000"/>
          <w:kern w:val="0"/>
          <w:sz w:val="24"/>
          <w:szCs w:val="24"/>
        </w:rPr>
        <w:t>2</w:t>
      </w:r>
      <w:r w:rsidRPr="00505BA0">
        <w:rPr>
          <w:rFonts w:ascii="Arial" w:eastAsia="宋体" w:hAnsi="Arial" w:cs="Arial"/>
          <w:color w:val="000000"/>
          <w:kern w:val="0"/>
          <w:sz w:val="24"/>
          <w:szCs w:val="24"/>
        </w:rPr>
        <w:t>年。</w:t>
      </w:r>
    </w:p>
    <w:p w14:paraId="24266787"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第十七条　县级以上人民政府统计机构应当遵循诚信守法便利、失信违法惩戒原则，对统计守信企业予以激励；对统计信用异常企业、统计一般失信企业加强监督检查；将统计严重失信企业信息纳入金融、工商等行业和部门信用信息系统，并按照《关于加快推进失信被执行人信用监督、警示和惩戒机制建设的意见》，以及《关于对统计领域严重失信企业及其有关人员开展联合惩戒的合作备忘录》实施联合惩戒。</w:t>
      </w:r>
    </w:p>
    <w:p w14:paraId="705E71CC"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联合惩戒措施包括：</w:t>
      </w:r>
    </w:p>
    <w:p w14:paraId="72408216"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（一）对失信企业依法</w:t>
      </w:r>
      <w:proofErr w:type="gramStart"/>
      <w:r w:rsidRPr="00505BA0">
        <w:rPr>
          <w:rFonts w:ascii="Arial" w:eastAsia="宋体" w:hAnsi="Arial" w:cs="Arial"/>
          <w:color w:val="000000"/>
          <w:kern w:val="0"/>
          <w:sz w:val="24"/>
          <w:szCs w:val="24"/>
        </w:rPr>
        <w:t>作出</w:t>
      </w:r>
      <w:proofErr w:type="gramEnd"/>
      <w:r w:rsidRPr="00505BA0">
        <w:rPr>
          <w:rFonts w:ascii="Arial" w:eastAsia="宋体" w:hAnsi="Arial" w:cs="Arial"/>
          <w:color w:val="000000"/>
          <w:kern w:val="0"/>
          <w:sz w:val="24"/>
          <w:szCs w:val="24"/>
        </w:rPr>
        <w:t>行政处罚；对负有责任的领导人员和直接责任人员，属于国家工作人员的，按照有关规定由任免机关、监察机关依纪依法给予组织处理或者处分。</w:t>
      </w:r>
    </w:p>
    <w:p w14:paraId="2FCB843F"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（二）依法依规限制取得政府性资金支持。</w:t>
      </w:r>
    </w:p>
    <w:p w14:paraId="2D9D4146"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（三）依法限制参与建设工程招投标。</w:t>
      </w:r>
    </w:p>
    <w:p w14:paraId="04DDF2D9"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（四）将失信企业及其相关人员有关信息作为公司债券和股票发行审核的参考，从严审核企业债券发行。</w:t>
      </w:r>
    </w:p>
    <w:p w14:paraId="51BA2F32"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（五）暂停审批科技项目。</w:t>
      </w:r>
    </w:p>
    <w:p w14:paraId="6EB16C20"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（六）依法限制参与政府采购活动。</w:t>
      </w:r>
    </w:p>
    <w:p w14:paraId="278DF519"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（七）依法限制取得政府供应土地。</w:t>
      </w:r>
    </w:p>
    <w:p w14:paraId="0C008219"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（八）严格、审慎审批新改扩建项目的环评事项。</w:t>
      </w:r>
    </w:p>
    <w:p w14:paraId="0A8BAD89"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（九）从严审核在银行间市场发行债券。</w:t>
      </w:r>
    </w:p>
    <w:p w14:paraId="2B8D19F1"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（十）依法限制境内上市公司实行股权激励计划或者限制成为股权激励对象。</w:t>
      </w:r>
    </w:p>
    <w:p w14:paraId="5F28FCBA"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lastRenderedPageBreak/>
        <w:t xml:space="preserve">　　（十一）对其进出口货物加大监管力度，加强单证审核和布控查验。</w:t>
      </w:r>
    </w:p>
    <w:p w14:paraId="42746507"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（十二）申请适用海关认证企业管理的，不予通过认证；已经成为认证企业的，按照规定下调企业信用等级。</w:t>
      </w:r>
    </w:p>
    <w:p w14:paraId="0654A83F"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（十三）将失信企业有关信息纳入检验检疫进出口企业信用管理系统，依据《出入境检验检疫企业信用管理办法》对其进行信用评级和监督。</w:t>
      </w:r>
    </w:p>
    <w:p w14:paraId="78C71F2C"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（十四）认证机构暂停或者撤销相关认证证书。</w:t>
      </w:r>
    </w:p>
    <w:p w14:paraId="0A03D439"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（十五）在审批保险公司设立时，将统计领域严重失信企业及其有关人员的失信状况作为重要参考依据。</w:t>
      </w:r>
    </w:p>
    <w:p w14:paraId="4FF13E49"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（十六）在核准与管理相关外汇额度时作审慎性参考。</w:t>
      </w:r>
    </w:p>
    <w:p w14:paraId="74EF5D78"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（十七）依法限制招录（聘）为公务员或事业单位工作人员。</w:t>
      </w:r>
    </w:p>
    <w:p w14:paraId="1DE1B477"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（十八）对企业和个人给予表彰奖励、授予荣誉称号时，应当参考其统计信用状况，对失信企业和失信人员，不予颁发政府荣誉；及时撤销失信企业和失信人员获得的荣誉称号。</w:t>
      </w:r>
    </w:p>
    <w:p w14:paraId="76D4F40C"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（十九）依法限制登记为事业单位法定代表人。</w:t>
      </w:r>
    </w:p>
    <w:p w14:paraId="62A360C0"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（二十）依法限制担任国有企业法定代表人、董事、监事。</w:t>
      </w:r>
    </w:p>
    <w:p w14:paraId="30C39146"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（二十一）将失信人员有关信息记入个人信用记录和统计从业人员诚信档案，在一定期限内不得从事与会计、统计等有关的工作，不能取得会计、统计等有关专业职称。</w:t>
      </w:r>
    </w:p>
    <w:p w14:paraId="59A8F701"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（二十二）依法限制设立融资性担保公司；在审批融资性担保公司或金融机构董事、监事及高级管理人员任职资格时，将统计领域严重失信企业及其有关人员失信状况作为重要参考依据。</w:t>
      </w:r>
    </w:p>
    <w:p w14:paraId="4218D3A1"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二十三）将统计上严重失信行为作为投资等优惠性政策认定，金融机构评级授信、信贷融资、管理和退出，审批证券、证券投资基金及期货公司设立、变更，私募基金管理人登记、重大事项变更以及基金备案，相关责任人考核、干部选任等的重要参考。</w:t>
      </w:r>
    </w:p>
    <w:p w14:paraId="4D7BA167"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第十八条　企业可以向采集、认定本单位统计信用的政府统计机构提出书面查询申请，查询本单位的统计信用信息和统计信用状况。政府统计机构应于</w:t>
      </w:r>
      <w:r w:rsidRPr="00505BA0">
        <w:rPr>
          <w:rFonts w:ascii="Arial" w:eastAsia="宋体" w:hAnsi="Arial" w:cs="Arial"/>
          <w:color w:val="000000"/>
          <w:kern w:val="0"/>
          <w:sz w:val="24"/>
          <w:szCs w:val="24"/>
        </w:rPr>
        <w:t>15</w:t>
      </w:r>
      <w:r w:rsidRPr="00505BA0">
        <w:rPr>
          <w:rFonts w:ascii="Arial" w:eastAsia="宋体" w:hAnsi="Arial" w:cs="Arial"/>
          <w:color w:val="000000"/>
          <w:kern w:val="0"/>
          <w:sz w:val="24"/>
          <w:szCs w:val="24"/>
        </w:rPr>
        <w:t>个工作日内回复。</w:t>
      </w:r>
    </w:p>
    <w:p w14:paraId="1AEBC510"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lastRenderedPageBreak/>
        <w:t xml:space="preserve">　　第十九条　县级以上人民政府统计机构发现采集、认定和公示的企业统计信用信息不准确的，应当及时更正。</w:t>
      </w:r>
    </w:p>
    <w:p w14:paraId="61F3A5B7"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上级统计机构发现下级统计机构采集、认定和公示的企业统计信用信息不准确的，应当要求下级及时更正。</w:t>
      </w:r>
    </w:p>
    <w:p w14:paraId="5B295271"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公民、法人或者其他组织有证据证明统计机构采集和公示的企业统计信用信息不准确的，有权要求统计机构予以更正。经核查确有错误的，履行公示职责的统计机构应当及时予以更正或删除。</w:t>
      </w:r>
    </w:p>
    <w:p w14:paraId="5B4CA7A5"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第二十条　企业对统计机构在公示企业统计信用信息工作中的具体行政行为或</w:t>
      </w:r>
      <w:proofErr w:type="gramStart"/>
      <w:r w:rsidRPr="00505BA0">
        <w:rPr>
          <w:rFonts w:ascii="Arial" w:eastAsia="宋体" w:hAnsi="Arial" w:cs="Arial"/>
          <w:color w:val="000000"/>
          <w:kern w:val="0"/>
          <w:sz w:val="24"/>
          <w:szCs w:val="24"/>
        </w:rPr>
        <w:t>作出</w:t>
      </w:r>
      <w:proofErr w:type="gramEnd"/>
      <w:r w:rsidRPr="00505BA0">
        <w:rPr>
          <w:rFonts w:ascii="Arial" w:eastAsia="宋体" w:hAnsi="Arial" w:cs="Arial"/>
          <w:color w:val="000000"/>
          <w:kern w:val="0"/>
          <w:sz w:val="24"/>
          <w:szCs w:val="24"/>
        </w:rPr>
        <w:t>的认定决定不服的，可以依法申请行政复议或者提起行政诉讼。</w:t>
      </w:r>
    </w:p>
    <w:p w14:paraId="26C842AE"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第二十一条　县级以上人民政府统计机构应当与同级有关部门建立合作机制，推进信用信息互认互通、信息共享。</w:t>
      </w:r>
    </w:p>
    <w:p w14:paraId="6BB2C99A"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第二十二条　县级以上人民政府统计机构未按本办法履行职责的，由上一级政府统计机构责令改正；情节严重的，对负有责任的主管领导和其他直接责任人员依法依纪依规予以处分。</w:t>
      </w:r>
    </w:p>
    <w:p w14:paraId="44ED0238"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第二十三条　本办法中的各级统计机构是指县级以上人民政府统计局和国家调查队。</w:t>
      </w:r>
    </w:p>
    <w:p w14:paraId="537B0020"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第二十四条　政府有关部门组织实施的统计调查活动参照本办法执行。</w:t>
      </w:r>
    </w:p>
    <w:p w14:paraId="30C0A70A"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第二十五条　承担法定的政府统计资料报送义务的其他单位，其统计信用管理参照本办法执行。</w:t>
      </w:r>
    </w:p>
    <w:p w14:paraId="69D4F52F"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第二十六条　民间统计调查单位统计信用管理参照本办法执行。</w:t>
      </w:r>
    </w:p>
    <w:p w14:paraId="29CF0203"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第二十七条　《统计上严重失信企业信息公示暂行办法》与本办法不一致的，执行本办法。</w:t>
      </w:r>
    </w:p>
    <w:p w14:paraId="058D0330"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第二十八条　本办法由国家统计局负责解释。</w:t>
      </w:r>
    </w:p>
    <w:p w14:paraId="0DBFF09A" w14:textId="77777777" w:rsidR="00505BA0" w:rsidRPr="00505BA0" w:rsidRDefault="00505BA0" w:rsidP="00505BA0">
      <w:pPr>
        <w:widowControl/>
        <w:spacing w:line="480" w:lineRule="atLeast"/>
        <w:jc w:val="left"/>
        <w:rPr>
          <w:rFonts w:ascii="Arial" w:eastAsia="宋体" w:hAnsi="Arial" w:cs="Arial"/>
          <w:color w:val="000000"/>
          <w:kern w:val="0"/>
          <w:sz w:val="24"/>
          <w:szCs w:val="24"/>
        </w:rPr>
      </w:pPr>
      <w:r w:rsidRPr="00505BA0">
        <w:rPr>
          <w:rFonts w:ascii="Arial" w:eastAsia="宋体" w:hAnsi="Arial" w:cs="Arial"/>
          <w:color w:val="000000"/>
          <w:kern w:val="0"/>
          <w:sz w:val="24"/>
          <w:szCs w:val="24"/>
        </w:rPr>
        <w:t xml:space="preserve">　　第二十九条　本办法自</w:t>
      </w:r>
      <w:r w:rsidRPr="00505BA0">
        <w:rPr>
          <w:rFonts w:ascii="Arial" w:eastAsia="宋体" w:hAnsi="Arial" w:cs="Arial"/>
          <w:color w:val="000000"/>
          <w:kern w:val="0"/>
          <w:sz w:val="24"/>
          <w:szCs w:val="24"/>
        </w:rPr>
        <w:t>2017</w:t>
      </w:r>
      <w:r w:rsidRPr="00505BA0">
        <w:rPr>
          <w:rFonts w:ascii="Arial" w:eastAsia="宋体" w:hAnsi="Arial" w:cs="Arial"/>
          <w:color w:val="000000"/>
          <w:kern w:val="0"/>
          <w:sz w:val="24"/>
          <w:szCs w:val="24"/>
        </w:rPr>
        <w:t>年</w:t>
      </w:r>
      <w:r w:rsidRPr="00505BA0">
        <w:rPr>
          <w:rFonts w:ascii="Arial" w:eastAsia="宋体" w:hAnsi="Arial" w:cs="Arial"/>
          <w:color w:val="000000"/>
          <w:kern w:val="0"/>
          <w:sz w:val="24"/>
          <w:szCs w:val="24"/>
        </w:rPr>
        <w:t>8</w:t>
      </w:r>
      <w:r w:rsidRPr="00505BA0">
        <w:rPr>
          <w:rFonts w:ascii="Arial" w:eastAsia="宋体" w:hAnsi="Arial" w:cs="Arial"/>
          <w:color w:val="000000"/>
          <w:kern w:val="0"/>
          <w:sz w:val="24"/>
          <w:szCs w:val="24"/>
        </w:rPr>
        <w:t>月</w:t>
      </w:r>
      <w:r w:rsidRPr="00505BA0">
        <w:rPr>
          <w:rFonts w:ascii="Arial" w:eastAsia="宋体" w:hAnsi="Arial" w:cs="Arial"/>
          <w:color w:val="000000"/>
          <w:kern w:val="0"/>
          <w:sz w:val="24"/>
          <w:szCs w:val="24"/>
        </w:rPr>
        <w:t>1</w:t>
      </w:r>
      <w:r w:rsidRPr="00505BA0">
        <w:rPr>
          <w:rFonts w:ascii="Arial" w:eastAsia="宋体" w:hAnsi="Arial" w:cs="Arial"/>
          <w:color w:val="000000"/>
          <w:kern w:val="0"/>
          <w:sz w:val="24"/>
          <w:szCs w:val="24"/>
        </w:rPr>
        <w:t>日起施行。</w:t>
      </w:r>
    </w:p>
    <w:p w14:paraId="11CBDB5B" w14:textId="77777777" w:rsidR="00AA3AFD" w:rsidRPr="00505BA0" w:rsidRDefault="00AA3AFD" w:rsidP="009F389D"/>
    <w:sectPr w:rsidR="00AA3AFD" w:rsidRPr="00505B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B6843"/>
    <w:multiLevelType w:val="multilevel"/>
    <w:tmpl w:val="52AA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FD"/>
    <w:rsid w:val="00096993"/>
    <w:rsid w:val="000A38E0"/>
    <w:rsid w:val="00236192"/>
    <w:rsid w:val="00240D1E"/>
    <w:rsid w:val="002711D2"/>
    <w:rsid w:val="0028289B"/>
    <w:rsid w:val="00361CC6"/>
    <w:rsid w:val="004B007E"/>
    <w:rsid w:val="004F7E0C"/>
    <w:rsid w:val="00505BA0"/>
    <w:rsid w:val="00544427"/>
    <w:rsid w:val="0061216E"/>
    <w:rsid w:val="00710A4F"/>
    <w:rsid w:val="00755E17"/>
    <w:rsid w:val="008615B7"/>
    <w:rsid w:val="00864264"/>
    <w:rsid w:val="00874FF3"/>
    <w:rsid w:val="00875901"/>
    <w:rsid w:val="00877C42"/>
    <w:rsid w:val="008B4D19"/>
    <w:rsid w:val="00995DD0"/>
    <w:rsid w:val="009D0A47"/>
    <w:rsid w:val="009F389D"/>
    <w:rsid w:val="009F778C"/>
    <w:rsid w:val="00A32FA7"/>
    <w:rsid w:val="00AA3AFD"/>
    <w:rsid w:val="00AE66F7"/>
    <w:rsid w:val="00B71F18"/>
    <w:rsid w:val="00BF1550"/>
    <w:rsid w:val="00BF5FB5"/>
    <w:rsid w:val="00C35716"/>
    <w:rsid w:val="00D82E72"/>
    <w:rsid w:val="00DB2C5B"/>
    <w:rsid w:val="00E8638D"/>
    <w:rsid w:val="00EF3642"/>
    <w:rsid w:val="00F015B4"/>
    <w:rsid w:val="00F017AA"/>
    <w:rsid w:val="00F2021F"/>
    <w:rsid w:val="00F93C7D"/>
    <w:rsid w:val="00FA5583"/>
    <w:rsid w:val="00FE7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1D2E"/>
  <w15:chartTrackingRefBased/>
  <w15:docId w15:val="{5D956253-93C8-4D99-AD24-06E1C54D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5E1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55E17"/>
    <w:rPr>
      <w:b/>
      <w:bCs/>
    </w:rPr>
  </w:style>
  <w:style w:type="character" w:styleId="a5">
    <w:name w:val="Hyperlink"/>
    <w:basedOn w:val="a0"/>
    <w:uiPriority w:val="99"/>
    <w:semiHidden/>
    <w:unhideWhenUsed/>
    <w:rsid w:val="00710A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9895">
      <w:bodyDiv w:val="1"/>
      <w:marLeft w:val="0"/>
      <w:marRight w:val="0"/>
      <w:marTop w:val="0"/>
      <w:marBottom w:val="0"/>
      <w:divBdr>
        <w:top w:val="none" w:sz="0" w:space="0" w:color="auto"/>
        <w:left w:val="none" w:sz="0" w:space="0" w:color="auto"/>
        <w:bottom w:val="none" w:sz="0" w:space="0" w:color="auto"/>
        <w:right w:val="none" w:sz="0" w:space="0" w:color="auto"/>
      </w:divBdr>
    </w:div>
    <w:div w:id="177474647">
      <w:bodyDiv w:val="1"/>
      <w:marLeft w:val="0"/>
      <w:marRight w:val="0"/>
      <w:marTop w:val="0"/>
      <w:marBottom w:val="0"/>
      <w:divBdr>
        <w:top w:val="none" w:sz="0" w:space="0" w:color="auto"/>
        <w:left w:val="none" w:sz="0" w:space="0" w:color="auto"/>
        <w:bottom w:val="none" w:sz="0" w:space="0" w:color="auto"/>
        <w:right w:val="none" w:sz="0" w:space="0" w:color="auto"/>
      </w:divBdr>
    </w:div>
    <w:div w:id="219900884">
      <w:bodyDiv w:val="1"/>
      <w:marLeft w:val="0"/>
      <w:marRight w:val="0"/>
      <w:marTop w:val="0"/>
      <w:marBottom w:val="0"/>
      <w:divBdr>
        <w:top w:val="none" w:sz="0" w:space="0" w:color="auto"/>
        <w:left w:val="none" w:sz="0" w:space="0" w:color="auto"/>
        <w:bottom w:val="none" w:sz="0" w:space="0" w:color="auto"/>
        <w:right w:val="none" w:sz="0" w:space="0" w:color="auto"/>
      </w:divBdr>
    </w:div>
    <w:div w:id="372851187">
      <w:bodyDiv w:val="1"/>
      <w:marLeft w:val="0"/>
      <w:marRight w:val="0"/>
      <w:marTop w:val="0"/>
      <w:marBottom w:val="0"/>
      <w:divBdr>
        <w:top w:val="none" w:sz="0" w:space="0" w:color="auto"/>
        <w:left w:val="none" w:sz="0" w:space="0" w:color="auto"/>
        <w:bottom w:val="none" w:sz="0" w:space="0" w:color="auto"/>
        <w:right w:val="none" w:sz="0" w:space="0" w:color="auto"/>
      </w:divBdr>
    </w:div>
    <w:div w:id="447361233">
      <w:bodyDiv w:val="1"/>
      <w:marLeft w:val="0"/>
      <w:marRight w:val="0"/>
      <w:marTop w:val="0"/>
      <w:marBottom w:val="0"/>
      <w:divBdr>
        <w:top w:val="none" w:sz="0" w:space="0" w:color="auto"/>
        <w:left w:val="none" w:sz="0" w:space="0" w:color="auto"/>
        <w:bottom w:val="none" w:sz="0" w:space="0" w:color="auto"/>
        <w:right w:val="none" w:sz="0" w:space="0" w:color="auto"/>
      </w:divBdr>
    </w:div>
    <w:div w:id="501510869">
      <w:bodyDiv w:val="1"/>
      <w:marLeft w:val="0"/>
      <w:marRight w:val="0"/>
      <w:marTop w:val="0"/>
      <w:marBottom w:val="0"/>
      <w:divBdr>
        <w:top w:val="none" w:sz="0" w:space="0" w:color="auto"/>
        <w:left w:val="none" w:sz="0" w:space="0" w:color="auto"/>
        <w:bottom w:val="none" w:sz="0" w:space="0" w:color="auto"/>
        <w:right w:val="none" w:sz="0" w:space="0" w:color="auto"/>
      </w:divBdr>
    </w:div>
    <w:div w:id="517814392">
      <w:bodyDiv w:val="1"/>
      <w:marLeft w:val="0"/>
      <w:marRight w:val="0"/>
      <w:marTop w:val="0"/>
      <w:marBottom w:val="0"/>
      <w:divBdr>
        <w:top w:val="none" w:sz="0" w:space="0" w:color="auto"/>
        <w:left w:val="none" w:sz="0" w:space="0" w:color="auto"/>
        <w:bottom w:val="none" w:sz="0" w:space="0" w:color="auto"/>
        <w:right w:val="none" w:sz="0" w:space="0" w:color="auto"/>
      </w:divBdr>
    </w:div>
    <w:div w:id="604531950">
      <w:bodyDiv w:val="1"/>
      <w:marLeft w:val="0"/>
      <w:marRight w:val="0"/>
      <w:marTop w:val="0"/>
      <w:marBottom w:val="0"/>
      <w:divBdr>
        <w:top w:val="none" w:sz="0" w:space="0" w:color="auto"/>
        <w:left w:val="none" w:sz="0" w:space="0" w:color="auto"/>
        <w:bottom w:val="none" w:sz="0" w:space="0" w:color="auto"/>
        <w:right w:val="none" w:sz="0" w:space="0" w:color="auto"/>
      </w:divBdr>
    </w:div>
    <w:div w:id="605121043">
      <w:bodyDiv w:val="1"/>
      <w:marLeft w:val="0"/>
      <w:marRight w:val="0"/>
      <w:marTop w:val="0"/>
      <w:marBottom w:val="0"/>
      <w:divBdr>
        <w:top w:val="none" w:sz="0" w:space="0" w:color="auto"/>
        <w:left w:val="none" w:sz="0" w:space="0" w:color="auto"/>
        <w:bottom w:val="none" w:sz="0" w:space="0" w:color="auto"/>
        <w:right w:val="none" w:sz="0" w:space="0" w:color="auto"/>
      </w:divBdr>
    </w:div>
    <w:div w:id="780026881">
      <w:bodyDiv w:val="1"/>
      <w:marLeft w:val="0"/>
      <w:marRight w:val="0"/>
      <w:marTop w:val="0"/>
      <w:marBottom w:val="0"/>
      <w:divBdr>
        <w:top w:val="none" w:sz="0" w:space="0" w:color="auto"/>
        <w:left w:val="none" w:sz="0" w:space="0" w:color="auto"/>
        <w:bottom w:val="none" w:sz="0" w:space="0" w:color="auto"/>
        <w:right w:val="none" w:sz="0" w:space="0" w:color="auto"/>
      </w:divBdr>
    </w:div>
    <w:div w:id="809441506">
      <w:bodyDiv w:val="1"/>
      <w:marLeft w:val="0"/>
      <w:marRight w:val="0"/>
      <w:marTop w:val="0"/>
      <w:marBottom w:val="0"/>
      <w:divBdr>
        <w:top w:val="none" w:sz="0" w:space="0" w:color="auto"/>
        <w:left w:val="none" w:sz="0" w:space="0" w:color="auto"/>
        <w:bottom w:val="none" w:sz="0" w:space="0" w:color="auto"/>
        <w:right w:val="none" w:sz="0" w:space="0" w:color="auto"/>
      </w:divBdr>
    </w:div>
    <w:div w:id="930621952">
      <w:bodyDiv w:val="1"/>
      <w:marLeft w:val="0"/>
      <w:marRight w:val="0"/>
      <w:marTop w:val="0"/>
      <w:marBottom w:val="0"/>
      <w:divBdr>
        <w:top w:val="none" w:sz="0" w:space="0" w:color="auto"/>
        <w:left w:val="none" w:sz="0" w:space="0" w:color="auto"/>
        <w:bottom w:val="none" w:sz="0" w:space="0" w:color="auto"/>
        <w:right w:val="none" w:sz="0" w:space="0" w:color="auto"/>
      </w:divBdr>
      <w:divsChild>
        <w:div w:id="1790514831">
          <w:marLeft w:val="0"/>
          <w:marRight w:val="0"/>
          <w:marTop w:val="0"/>
          <w:marBottom w:val="0"/>
          <w:divBdr>
            <w:top w:val="none" w:sz="0" w:space="0" w:color="auto"/>
            <w:left w:val="none" w:sz="0" w:space="0" w:color="auto"/>
            <w:bottom w:val="none" w:sz="0" w:space="0" w:color="auto"/>
            <w:right w:val="none" w:sz="0" w:space="0" w:color="auto"/>
          </w:divBdr>
        </w:div>
      </w:divsChild>
    </w:div>
    <w:div w:id="1016619067">
      <w:bodyDiv w:val="1"/>
      <w:marLeft w:val="0"/>
      <w:marRight w:val="0"/>
      <w:marTop w:val="0"/>
      <w:marBottom w:val="0"/>
      <w:divBdr>
        <w:top w:val="none" w:sz="0" w:space="0" w:color="auto"/>
        <w:left w:val="none" w:sz="0" w:space="0" w:color="auto"/>
        <w:bottom w:val="none" w:sz="0" w:space="0" w:color="auto"/>
        <w:right w:val="none" w:sz="0" w:space="0" w:color="auto"/>
      </w:divBdr>
    </w:div>
    <w:div w:id="1133016011">
      <w:bodyDiv w:val="1"/>
      <w:marLeft w:val="0"/>
      <w:marRight w:val="0"/>
      <w:marTop w:val="0"/>
      <w:marBottom w:val="0"/>
      <w:divBdr>
        <w:top w:val="none" w:sz="0" w:space="0" w:color="auto"/>
        <w:left w:val="none" w:sz="0" w:space="0" w:color="auto"/>
        <w:bottom w:val="none" w:sz="0" w:space="0" w:color="auto"/>
        <w:right w:val="none" w:sz="0" w:space="0" w:color="auto"/>
      </w:divBdr>
      <w:divsChild>
        <w:div w:id="1113281120">
          <w:marLeft w:val="0"/>
          <w:marRight w:val="0"/>
          <w:marTop w:val="0"/>
          <w:marBottom w:val="0"/>
          <w:divBdr>
            <w:top w:val="none" w:sz="0" w:space="0" w:color="auto"/>
            <w:left w:val="none" w:sz="0" w:space="0" w:color="auto"/>
            <w:bottom w:val="none" w:sz="0" w:space="0" w:color="auto"/>
            <w:right w:val="none" w:sz="0" w:space="0" w:color="auto"/>
          </w:divBdr>
        </w:div>
      </w:divsChild>
    </w:div>
    <w:div w:id="1231966996">
      <w:bodyDiv w:val="1"/>
      <w:marLeft w:val="0"/>
      <w:marRight w:val="0"/>
      <w:marTop w:val="0"/>
      <w:marBottom w:val="0"/>
      <w:divBdr>
        <w:top w:val="none" w:sz="0" w:space="0" w:color="auto"/>
        <w:left w:val="none" w:sz="0" w:space="0" w:color="auto"/>
        <w:bottom w:val="none" w:sz="0" w:space="0" w:color="auto"/>
        <w:right w:val="none" w:sz="0" w:space="0" w:color="auto"/>
      </w:divBdr>
    </w:div>
    <w:div w:id="1355837926">
      <w:bodyDiv w:val="1"/>
      <w:marLeft w:val="0"/>
      <w:marRight w:val="0"/>
      <w:marTop w:val="0"/>
      <w:marBottom w:val="0"/>
      <w:divBdr>
        <w:top w:val="none" w:sz="0" w:space="0" w:color="auto"/>
        <w:left w:val="none" w:sz="0" w:space="0" w:color="auto"/>
        <w:bottom w:val="none" w:sz="0" w:space="0" w:color="auto"/>
        <w:right w:val="none" w:sz="0" w:space="0" w:color="auto"/>
      </w:divBdr>
    </w:div>
    <w:div w:id="1532110368">
      <w:bodyDiv w:val="1"/>
      <w:marLeft w:val="0"/>
      <w:marRight w:val="0"/>
      <w:marTop w:val="0"/>
      <w:marBottom w:val="0"/>
      <w:divBdr>
        <w:top w:val="none" w:sz="0" w:space="0" w:color="auto"/>
        <w:left w:val="none" w:sz="0" w:space="0" w:color="auto"/>
        <w:bottom w:val="none" w:sz="0" w:space="0" w:color="auto"/>
        <w:right w:val="none" w:sz="0" w:space="0" w:color="auto"/>
      </w:divBdr>
    </w:div>
    <w:div w:id="1584950284">
      <w:bodyDiv w:val="1"/>
      <w:marLeft w:val="0"/>
      <w:marRight w:val="0"/>
      <w:marTop w:val="0"/>
      <w:marBottom w:val="0"/>
      <w:divBdr>
        <w:top w:val="none" w:sz="0" w:space="0" w:color="auto"/>
        <w:left w:val="none" w:sz="0" w:space="0" w:color="auto"/>
        <w:bottom w:val="none" w:sz="0" w:space="0" w:color="auto"/>
        <w:right w:val="none" w:sz="0" w:space="0" w:color="auto"/>
      </w:divBdr>
    </w:div>
    <w:div w:id="1641837058">
      <w:bodyDiv w:val="1"/>
      <w:marLeft w:val="0"/>
      <w:marRight w:val="0"/>
      <w:marTop w:val="0"/>
      <w:marBottom w:val="0"/>
      <w:divBdr>
        <w:top w:val="none" w:sz="0" w:space="0" w:color="auto"/>
        <w:left w:val="none" w:sz="0" w:space="0" w:color="auto"/>
        <w:bottom w:val="none" w:sz="0" w:space="0" w:color="auto"/>
        <w:right w:val="none" w:sz="0" w:space="0" w:color="auto"/>
      </w:divBdr>
    </w:div>
    <w:div w:id="1695379264">
      <w:bodyDiv w:val="1"/>
      <w:marLeft w:val="0"/>
      <w:marRight w:val="0"/>
      <w:marTop w:val="0"/>
      <w:marBottom w:val="0"/>
      <w:divBdr>
        <w:top w:val="none" w:sz="0" w:space="0" w:color="auto"/>
        <w:left w:val="none" w:sz="0" w:space="0" w:color="auto"/>
        <w:bottom w:val="none" w:sz="0" w:space="0" w:color="auto"/>
        <w:right w:val="none" w:sz="0" w:space="0" w:color="auto"/>
      </w:divBdr>
    </w:div>
    <w:div w:id="1724711264">
      <w:bodyDiv w:val="1"/>
      <w:marLeft w:val="0"/>
      <w:marRight w:val="0"/>
      <w:marTop w:val="0"/>
      <w:marBottom w:val="0"/>
      <w:divBdr>
        <w:top w:val="none" w:sz="0" w:space="0" w:color="auto"/>
        <w:left w:val="none" w:sz="0" w:space="0" w:color="auto"/>
        <w:bottom w:val="none" w:sz="0" w:space="0" w:color="auto"/>
        <w:right w:val="none" w:sz="0" w:space="0" w:color="auto"/>
      </w:divBdr>
    </w:div>
    <w:div w:id="1779445553">
      <w:bodyDiv w:val="1"/>
      <w:marLeft w:val="0"/>
      <w:marRight w:val="0"/>
      <w:marTop w:val="0"/>
      <w:marBottom w:val="0"/>
      <w:divBdr>
        <w:top w:val="none" w:sz="0" w:space="0" w:color="auto"/>
        <w:left w:val="none" w:sz="0" w:space="0" w:color="auto"/>
        <w:bottom w:val="none" w:sz="0" w:space="0" w:color="auto"/>
        <w:right w:val="none" w:sz="0" w:space="0" w:color="auto"/>
      </w:divBdr>
    </w:div>
    <w:div w:id="1846506269">
      <w:bodyDiv w:val="1"/>
      <w:marLeft w:val="0"/>
      <w:marRight w:val="0"/>
      <w:marTop w:val="0"/>
      <w:marBottom w:val="0"/>
      <w:divBdr>
        <w:top w:val="none" w:sz="0" w:space="0" w:color="auto"/>
        <w:left w:val="none" w:sz="0" w:space="0" w:color="auto"/>
        <w:bottom w:val="none" w:sz="0" w:space="0" w:color="auto"/>
        <w:right w:val="none" w:sz="0" w:space="0" w:color="auto"/>
      </w:divBdr>
    </w:div>
    <w:div w:id="1861121965">
      <w:bodyDiv w:val="1"/>
      <w:marLeft w:val="0"/>
      <w:marRight w:val="0"/>
      <w:marTop w:val="0"/>
      <w:marBottom w:val="0"/>
      <w:divBdr>
        <w:top w:val="none" w:sz="0" w:space="0" w:color="auto"/>
        <w:left w:val="none" w:sz="0" w:space="0" w:color="auto"/>
        <w:bottom w:val="none" w:sz="0" w:space="0" w:color="auto"/>
        <w:right w:val="none" w:sz="0" w:space="0" w:color="auto"/>
      </w:divBdr>
    </w:div>
    <w:div w:id="1889412932">
      <w:bodyDiv w:val="1"/>
      <w:marLeft w:val="0"/>
      <w:marRight w:val="0"/>
      <w:marTop w:val="0"/>
      <w:marBottom w:val="0"/>
      <w:divBdr>
        <w:top w:val="none" w:sz="0" w:space="0" w:color="auto"/>
        <w:left w:val="none" w:sz="0" w:space="0" w:color="auto"/>
        <w:bottom w:val="none" w:sz="0" w:space="0" w:color="auto"/>
        <w:right w:val="none" w:sz="0" w:space="0" w:color="auto"/>
      </w:divBdr>
    </w:div>
    <w:div w:id="1890340620">
      <w:bodyDiv w:val="1"/>
      <w:marLeft w:val="0"/>
      <w:marRight w:val="0"/>
      <w:marTop w:val="0"/>
      <w:marBottom w:val="0"/>
      <w:divBdr>
        <w:top w:val="none" w:sz="0" w:space="0" w:color="auto"/>
        <w:left w:val="none" w:sz="0" w:space="0" w:color="auto"/>
        <w:bottom w:val="none" w:sz="0" w:space="0" w:color="auto"/>
        <w:right w:val="none" w:sz="0" w:space="0" w:color="auto"/>
      </w:divBdr>
    </w:div>
    <w:div w:id="1894854262">
      <w:bodyDiv w:val="1"/>
      <w:marLeft w:val="0"/>
      <w:marRight w:val="0"/>
      <w:marTop w:val="0"/>
      <w:marBottom w:val="0"/>
      <w:divBdr>
        <w:top w:val="none" w:sz="0" w:space="0" w:color="auto"/>
        <w:left w:val="none" w:sz="0" w:space="0" w:color="auto"/>
        <w:bottom w:val="none" w:sz="0" w:space="0" w:color="auto"/>
        <w:right w:val="none" w:sz="0" w:space="0" w:color="auto"/>
      </w:divBdr>
    </w:div>
    <w:div w:id="1897816929">
      <w:bodyDiv w:val="1"/>
      <w:marLeft w:val="0"/>
      <w:marRight w:val="0"/>
      <w:marTop w:val="0"/>
      <w:marBottom w:val="0"/>
      <w:divBdr>
        <w:top w:val="none" w:sz="0" w:space="0" w:color="auto"/>
        <w:left w:val="none" w:sz="0" w:space="0" w:color="auto"/>
        <w:bottom w:val="none" w:sz="0" w:space="0" w:color="auto"/>
        <w:right w:val="none" w:sz="0" w:space="0" w:color="auto"/>
      </w:divBdr>
    </w:div>
    <w:div w:id="1909995334">
      <w:bodyDiv w:val="1"/>
      <w:marLeft w:val="0"/>
      <w:marRight w:val="0"/>
      <w:marTop w:val="0"/>
      <w:marBottom w:val="0"/>
      <w:divBdr>
        <w:top w:val="none" w:sz="0" w:space="0" w:color="auto"/>
        <w:left w:val="none" w:sz="0" w:space="0" w:color="auto"/>
        <w:bottom w:val="none" w:sz="0" w:space="0" w:color="auto"/>
        <w:right w:val="none" w:sz="0" w:space="0" w:color="auto"/>
      </w:divBdr>
    </w:div>
    <w:div w:id="1943605641">
      <w:bodyDiv w:val="1"/>
      <w:marLeft w:val="0"/>
      <w:marRight w:val="0"/>
      <w:marTop w:val="0"/>
      <w:marBottom w:val="0"/>
      <w:divBdr>
        <w:top w:val="none" w:sz="0" w:space="0" w:color="auto"/>
        <w:left w:val="none" w:sz="0" w:space="0" w:color="auto"/>
        <w:bottom w:val="none" w:sz="0" w:space="0" w:color="auto"/>
        <w:right w:val="none" w:sz="0" w:space="0" w:color="auto"/>
      </w:divBdr>
    </w:div>
    <w:div w:id="1980262220">
      <w:bodyDiv w:val="1"/>
      <w:marLeft w:val="0"/>
      <w:marRight w:val="0"/>
      <w:marTop w:val="0"/>
      <w:marBottom w:val="0"/>
      <w:divBdr>
        <w:top w:val="none" w:sz="0" w:space="0" w:color="auto"/>
        <w:left w:val="none" w:sz="0" w:space="0" w:color="auto"/>
        <w:bottom w:val="none" w:sz="0" w:space="0" w:color="auto"/>
        <w:right w:val="none" w:sz="0" w:space="0" w:color="auto"/>
      </w:divBdr>
    </w:div>
    <w:div w:id="2021009341">
      <w:bodyDiv w:val="1"/>
      <w:marLeft w:val="0"/>
      <w:marRight w:val="0"/>
      <w:marTop w:val="0"/>
      <w:marBottom w:val="0"/>
      <w:divBdr>
        <w:top w:val="none" w:sz="0" w:space="0" w:color="auto"/>
        <w:left w:val="none" w:sz="0" w:space="0" w:color="auto"/>
        <w:bottom w:val="none" w:sz="0" w:space="0" w:color="auto"/>
        <w:right w:val="none" w:sz="0" w:space="0" w:color="auto"/>
      </w:divBdr>
    </w:div>
    <w:div w:id="2076540846">
      <w:bodyDiv w:val="1"/>
      <w:marLeft w:val="0"/>
      <w:marRight w:val="0"/>
      <w:marTop w:val="0"/>
      <w:marBottom w:val="0"/>
      <w:divBdr>
        <w:top w:val="none" w:sz="0" w:space="0" w:color="auto"/>
        <w:left w:val="none" w:sz="0" w:space="0" w:color="auto"/>
        <w:bottom w:val="none" w:sz="0" w:space="0" w:color="auto"/>
        <w:right w:val="none" w:sz="0" w:space="0" w:color="auto"/>
      </w:divBdr>
    </w:div>
    <w:div w:id="2081516093">
      <w:bodyDiv w:val="1"/>
      <w:marLeft w:val="0"/>
      <w:marRight w:val="0"/>
      <w:marTop w:val="0"/>
      <w:marBottom w:val="0"/>
      <w:divBdr>
        <w:top w:val="none" w:sz="0" w:space="0" w:color="auto"/>
        <w:left w:val="none" w:sz="0" w:space="0" w:color="auto"/>
        <w:bottom w:val="none" w:sz="0" w:space="0" w:color="auto"/>
        <w:right w:val="none" w:sz="0" w:space="0" w:color="auto"/>
      </w:divBdr>
    </w:div>
    <w:div w:id="208484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752</Words>
  <Characters>4292</Characters>
  <Application>Microsoft Office Word</Application>
  <DocSecurity>0</DocSecurity>
  <Lines>35</Lines>
  <Paragraphs>10</Paragraphs>
  <ScaleCrop>false</ScaleCrop>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睿智</dc:creator>
  <cp:keywords/>
  <dc:description/>
  <cp:lastModifiedBy>李 睿智</cp:lastModifiedBy>
  <cp:revision>89</cp:revision>
  <dcterms:created xsi:type="dcterms:W3CDTF">2021-12-26T16:11:00Z</dcterms:created>
  <dcterms:modified xsi:type="dcterms:W3CDTF">2021-12-26T17:00:00Z</dcterms:modified>
</cp:coreProperties>
</file>