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F57C3" w14:textId="77777777" w:rsidR="00C9679C" w:rsidRPr="00C9679C" w:rsidRDefault="00C9679C" w:rsidP="00C9679C">
      <w:pPr>
        <w:widowControl/>
        <w:spacing w:line="480" w:lineRule="atLeast"/>
        <w:jc w:val="left"/>
        <w:rPr>
          <w:rFonts w:ascii="Arial" w:eastAsia="宋体" w:hAnsi="Arial" w:cs="Arial"/>
          <w:color w:val="000000"/>
          <w:kern w:val="0"/>
          <w:sz w:val="24"/>
          <w:szCs w:val="24"/>
        </w:rPr>
      </w:pPr>
      <w:r w:rsidRPr="00C9679C">
        <w:rPr>
          <w:rFonts w:ascii="Arial" w:eastAsia="宋体" w:hAnsi="Arial" w:cs="Arial"/>
          <w:color w:val="000000"/>
          <w:kern w:val="0"/>
          <w:sz w:val="24"/>
          <w:szCs w:val="24"/>
        </w:rPr>
        <w:t xml:space="preserve">　　《山东省行政执法监督条例》（以下简称《条例》）已经</w:t>
      </w:r>
      <w:r w:rsidRPr="00C9679C">
        <w:rPr>
          <w:rFonts w:ascii="Arial" w:eastAsia="宋体" w:hAnsi="Arial" w:cs="Arial"/>
          <w:color w:val="000000"/>
          <w:kern w:val="0"/>
          <w:sz w:val="24"/>
          <w:szCs w:val="24"/>
        </w:rPr>
        <w:t>2014</w:t>
      </w:r>
      <w:r w:rsidRPr="00C9679C">
        <w:rPr>
          <w:rFonts w:ascii="Arial" w:eastAsia="宋体" w:hAnsi="Arial" w:cs="Arial"/>
          <w:color w:val="000000"/>
          <w:kern w:val="0"/>
          <w:sz w:val="24"/>
          <w:szCs w:val="24"/>
        </w:rPr>
        <w:t>年</w:t>
      </w:r>
      <w:r w:rsidRPr="00C9679C">
        <w:rPr>
          <w:rFonts w:ascii="Arial" w:eastAsia="宋体" w:hAnsi="Arial" w:cs="Arial"/>
          <w:color w:val="000000"/>
          <w:kern w:val="0"/>
          <w:sz w:val="24"/>
          <w:szCs w:val="24"/>
        </w:rPr>
        <w:t>11</w:t>
      </w:r>
      <w:r w:rsidRPr="00C9679C">
        <w:rPr>
          <w:rFonts w:ascii="Arial" w:eastAsia="宋体" w:hAnsi="Arial" w:cs="Arial"/>
          <w:color w:val="000000"/>
          <w:kern w:val="0"/>
          <w:sz w:val="24"/>
          <w:szCs w:val="24"/>
        </w:rPr>
        <w:t>月</w:t>
      </w:r>
      <w:r w:rsidRPr="00C9679C">
        <w:rPr>
          <w:rFonts w:ascii="Arial" w:eastAsia="宋体" w:hAnsi="Arial" w:cs="Arial"/>
          <w:color w:val="000000"/>
          <w:kern w:val="0"/>
          <w:sz w:val="24"/>
          <w:szCs w:val="24"/>
        </w:rPr>
        <w:t>27</w:t>
      </w:r>
      <w:r w:rsidRPr="00C9679C">
        <w:rPr>
          <w:rFonts w:ascii="Arial" w:eastAsia="宋体" w:hAnsi="Arial" w:cs="Arial"/>
          <w:color w:val="000000"/>
          <w:kern w:val="0"/>
          <w:sz w:val="24"/>
          <w:szCs w:val="24"/>
        </w:rPr>
        <w:t>日省第十二届人大常委会第十一次会议通过，将于</w:t>
      </w:r>
      <w:r w:rsidRPr="00C9679C">
        <w:rPr>
          <w:rFonts w:ascii="Arial" w:eastAsia="宋体" w:hAnsi="Arial" w:cs="Arial"/>
          <w:color w:val="000000"/>
          <w:kern w:val="0"/>
          <w:sz w:val="24"/>
          <w:szCs w:val="24"/>
        </w:rPr>
        <w:t>2015</w:t>
      </w:r>
      <w:r w:rsidRPr="00C9679C">
        <w:rPr>
          <w:rFonts w:ascii="Arial" w:eastAsia="宋体" w:hAnsi="Arial" w:cs="Arial"/>
          <w:color w:val="000000"/>
          <w:kern w:val="0"/>
          <w:sz w:val="24"/>
          <w:szCs w:val="24"/>
        </w:rPr>
        <w:t>年</w:t>
      </w:r>
      <w:r w:rsidRPr="00C9679C">
        <w:rPr>
          <w:rFonts w:ascii="Arial" w:eastAsia="宋体" w:hAnsi="Arial" w:cs="Arial"/>
          <w:color w:val="000000"/>
          <w:kern w:val="0"/>
          <w:sz w:val="24"/>
          <w:szCs w:val="24"/>
        </w:rPr>
        <w:t>5</w:t>
      </w:r>
      <w:r w:rsidRPr="00C9679C">
        <w:rPr>
          <w:rFonts w:ascii="Arial" w:eastAsia="宋体" w:hAnsi="Arial" w:cs="Arial"/>
          <w:color w:val="000000"/>
          <w:kern w:val="0"/>
          <w:sz w:val="24"/>
          <w:szCs w:val="24"/>
        </w:rPr>
        <w:t>月</w:t>
      </w:r>
      <w:r w:rsidRPr="00C9679C">
        <w:rPr>
          <w:rFonts w:ascii="Arial" w:eastAsia="宋体" w:hAnsi="Arial" w:cs="Arial"/>
          <w:color w:val="000000"/>
          <w:kern w:val="0"/>
          <w:sz w:val="24"/>
          <w:szCs w:val="24"/>
        </w:rPr>
        <w:t>1</w:t>
      </w:r>
      <w:r w:rsidRPr="00C9679C">
        <w:rPr>
          <w:rFonts w:ascii="Arial" w:eastAsia="宋体" w:hAnsi="Arial" w:cs="Arial"/>
          <w:color w:val="000000"/>
          <w:kern w:val="0"/>
          <w:sz w:val="24"/>
          <w:szCs w:val="24"/>
        </w:rPr>
        <w:t>日起施行。现将有关背景情况说明如下：</w:t>
      </w:r>
      <w:r w:rsidRPr="00C9679C">
        <w:rPr>
          <w:rFonts w:ascii="Arial" w:eastAsia="宋体" w:hAnsi="Arial" w:cs="Arial"/>
          <w:color w:val="000000"/>
          <w:kern w:val="0"/>
          <w:sz w:val="24"/>
          <w:szCs w:val="24"/>
        </w:rPr>
        <w:br/>
      </w:r>
      <w:r w:rsidRPr="00C9679C">
        <w:rPr>
          <w:rFonts w:ascii="Arial" w:eastAsia="宋体" w:hAnsi="Arial" w:cs="Arial"/>
          <w:color w:val="000000"/>
          <w:kern w:val="0"/>
          <w:sz w:val="24"/>
          <w:szCs w:val="24"/>
        </w:rPr>
        <w:t xml:space="preserve">　　一、立法背景</w:t>
      </w:r>
    </w:p>
    <w:p w14:paraId="10F6A358" w14:textId="77777777" w:rsidR="00C9679C" w:rsidRPr="00C9679C" w:rsidRDefault="00C9679C" w:rsidP="00C9679C">
      <w:pPr>
        <w:widowControl/>
        <w:spacing w:line="480" w:lineRule="atLeast"/>
        <w:jc w:val="left"/>
        <w:rPr>
          <w:rFonts w:ascii="Arial" w:eastAsia="宋体" w:hAnsi="Arial" w:cs="Arial"/>
          <w:color w:val="000000"/>
          <w:kern w:val="0"/>
          <w:sz w:val="24"/>
          <w:szCs w:val="24"/>
        </w:rPr>
      </w:pPr>
      <w:r w:rsidRPr="00C9679C">
        <w:rPr>
          <w:rFonts w:ascii="Arial" w:eastAsia="宋体" w:hAnsi="Arial" w:cs="Arial"/>
          <w:color w:val="000000"/>
          <w:kern w:val="0"/>
          <w:sz w:val="24"/>
          <w:szCs w:val="24"/>
        </w:rPr>
        <w:t xml:space="preserve">　　加强行政执法监督，是防止和纠正违法或者不当行政执法行为、确保行政权力正当行使、维护行政管理相对人合法权益的有效途径，也是各级政府打造最优营商环境、促进依法行政和建设法治政府的有力保障。多年以来，我省各级人民政府及其所属部门认真贯彻依法治国基本方略，全面推进依法行政，行政执法行为进一步规范，执法水平不断提高。但是，在行政执法工作中，仍然存在有法不依、执法不严、违法不究的问题，行政执法不作为和乱作为现象时有发生，损害了国家利益、公共利益和公民、法人及其他组织的合法权益，有些个案造成了很坏的社会影响，人民群众反映强烈。这些问题的产生，既有执法机构和执法人员执法为民的观念不强、执法水平不高的因素，也有监督制度建设滞后、监督机制不健全的原因。因此，在进一步规范行政执法行为的同时，亟需加强对行政执法行为的监督。</w:t>
      </w:r>
      <w:r w:rsidRPr="00C9679C">
        <w:rPr>
          <w:rFonts w:ascii="Arial" w:eastAsia="宋体" w:hAnsi="Arial" w:cs="Arial"/>
          <w:color w:val="000000"/>
          <w:kern w:val="0"/>
          <w:sz w:val="24"/>
          <w:szCs w:val="24"/>
        </w:rPr>
        <w:br/>
      </w:r>
      <w:r w:rsidRPr="00C9679C">
        <w:rPr>
          <w:rFonts w:ascii="Arial" w:eastAsia="宋体" w:hAnsi="Arial" w:cs="Arial"/>
          <w:color w:val="000000"/>
          <w:kern w:val="0"/>
          <w:sz w:val="24"/>
          <w:szCs w:val="24"/>
        </w:rPr>
        <w:t xml:space="preserve">　　在实际工作中，各级人民政府不断创新行政执法监督方式，加大检查力度，纠正违法行为，取得了一定效果，但是监督工作中还存在许多问题，主要体现在：一是，执法监督主体众多，监督力量过于分散，没有形成监督合力；二是，执法监督体制不健全，现行法律、法规没有明确行政机关内部层级监督实施主体及其职责，致使监督工作难以深入开展，内部层级监督制度形同虚设；三是，执法监督法律制度不完善，监督措施、监督内容不明确，导致执法监督依据不足，监督工作难以做到经常化、制度化；四是，执法监督程序不完备，监督标准不统一；五是，当前执法监督的重点主要放在</w:t>
      </w:r>
      <w:r w:rsidRPr="00C9679C">
        <w:rPr>
          <w:rFonts w:ascii="Arial" w:eastAsia="宋体" w:hAnsi="Arial" w:cs="Arial"/>
          <w:color w:val="000000"/>
          <w:kern w:val="0"/>
          <w:sz w:val="24"/>
          <w:szCs w:val="24"/>
        </w:rPr>
        <w:t>&amp;</w:t>
      </w:r>
      <w:proofErr w:type="spellStart"/>
      <w:r w:rsidRPr="00C9679C">
        <w:rPr>
          <w:rFonts w:ascii="Arial" w:eastAsia="宋体" w:hAnsi="Arial" w:cs="Arial"/>
          <w:color w:val="000000"/>
          <w:kern w:val="0"/>
          <w:sz w:val="24"/>
          <w:szCs w:val="24"/>
        </w:rPr>
        <w:t>ldquo</w:t>
      </w:r>
      <w:proofErr w:type="spellEnd"/>
      <w:r w:rsidRPr="00C9679C">
        <w:rPr>
          <w:rFonts w:ascii="Arial" w:eastAsia="宋体" w:hAnsi="Arial" w:cs="Arial"/>
          <w:color w:val="000000"/>
          <w:kern w:val="0"/>
          <w:sz w:val="24"/>
          <w:szCs w:val="24"/>
        </w:rPr>
        <w:t>;</w:t>
      </w:r>
      <w:r w:rsidRPr="00C9679C">
        <w:rPr>
          <w:rFonts w:ascii="Arial" w:eastAsia="宋体" w:hAnsi="Arial" w:cs="Arial"/>
          <w:color w:val="000000"/>
          <w:kern w:val="0"/>
          <w:sz w:val="24"/>
          <w:szCs w:val="24"/>
        </w:rPr>
        <w:t>纠偏于既遂</w:t>
      </w:r>
      <w:r w:rsidRPr="00C9679C">
        <w:rPr>
          <w:rFonts w:ascii="Arial" w:eastAsia="宋体" w:hAnsi="Arial" w:cs="Arial"/>
          <w:color w:val="000000"/>
          <w:kern w:val="0"/>
          <w:sz w:val="24"/>
          <w:szCs w:val="24"/>
        </w:rPr>
        <w:t>&amp;</w:t>
      </w:r>
      <w:proofErr w:type="spellStart"/>
      <w:r w:rsidRPr="00C9679C">
        <w:rPr>
          <w:rFonts w:ascii="Arial" w:eastAsia="宋体" w:hAnsi="Arial" w:cs="Arial"/>
          <w:color w:val="000000"/>
          <w:kern w:val="0"/>
          <w:sz w:val="24"/>
          <w:szCs w:val="24"/>
        </w:rPr>
        <w:t>rdquo</w:t>
      </w:r>
      <w:proofErr w:type="spellEnd"/>
      <w:r w:rsidRPr="00C9679C">
        <w:rPr>
          <w:rFonts w:ascii="Arial" w:eastAsia="宋体" w:hAnsi="Arial" w:cs="Arial"/>
          <w:color w:val="000000"/>
          <w:kern w:val="0"/>
          <w:sz w:val="24"/>
          <w:szCs w:val="24"/>
        </w:rPr>
        <w:t>;</w:t>
      </w:r>
      <w:r w:rsidRPr="00C9679C">
        <w:rPr>
          <w:rFonts w:ascii="Arial" w:eastAsia="宋体" w:hAnsi="Arial" w:cs="Arial"/>
          <w:color w:val="000000"/>
          <w:kern w:val="0"/>
          <w:sz w:val="24"/>
          <w:szCs w:val="24"/>
        </w:rPr>
        <w:t>，对</w:t>
      </w:r>
      <w:r w:rsidRPr="00C9679C">
        <w:rPr>
          <w:rFonts w:ascii="Arial" w:eastAsia="宋体" w:hAnsi="Arial" w:cs="Arial"/>
          <w:color w:val="000000"/>
          <w:kern w:val="0"/>
          <w:sz w:val="24"/>
          <w:szCs w:val="24"/>
        </w:rPr>
        <w:t>&amp;</w:t>
      </w:r>
      <w:proofErr w:type="spellStart"/>
      <w:r w:rsidRPr="00C9679C">
        <w:rPr>
          <w:rFonts w:ascii="Arial" w:eastAsia="宋体" w:hAnsi="Arial" w:cs="Arial"/>
          <w:color w:val="000000"/>
          <w:kern w:val="0"/>
          <w:sz w:val="24"/>
          <w:szCs w:val="24"/>
        </w:rPr>
        <w:t>ldquo</w:t>
      </w:r>
      <w:proofErr w:type="spellEnd"/>
      <w:r w:rsidRPr="00C9679C">
        <w:rPr>
          <w:rFonts w:ascii="Arial" w:eastAsia="宋体" w:hAnsi="Arial" w:cs="Arial"/>
          <w:color w:val="000000"/>
          <w:kern w:val="0"/>
          <w:sz w:val="24"/>
          <w:szCs w:val="24"/>
        </w:rPr>
        <w:t>;</w:t>
      </w:r>
      <w:r w:rsidRPr="00C9679C">
        <w:rPr>
          <w:rFonts w:ascii="Arial" w:eastAsia="宋体" w:hAnsi="Arial" w:cs="Arial"/>
          <w:color w:val="000000"/>
          <w:kern w:val="0"/>
          <w:sz w:val="24"/>
          <w:szCs w:val="24"/>
        </w:rPr>
        <w:t>防患于未然</w:t>
      </w:r>
      <w:r w:rsidRPr="00C9679C">
        <w:rPr>
          <w:rFonts w:ascii="Arial" w:eastAsia="宋体" w:hAnsi="Arial" w:cs="Arial"/>
          <w:color w:val="000000"/>
          <w:kern w:val="0"/>
          <w:sz w:val="24"/>
          <w:szCs w:val="24"/>
        </w:rPr>
        <w:t>&amp;</w:t>
      </w:r>
      <w:proofErr w:type="spellStart"/>
      <w:r w:rsidRPr="00C9679C">
        <w:rPr>
          <w:rFonts w:ascii="Arial" w:eastAsia="宋体" w:hAnsi="Arial" w:cs="Arial"/>
          <w:color w:val="000000"/>
          <w:kern w:val="0"/>
          <w:sz w:val="24"/>
          <w:szCs w:val="24"/>
        </w:rPr>
        <w:t>rdquo</w:t>
      </w:r>
      <w:proofErr w:type="spellEnd"/>
      <w:r w:rsidRPr="00C9679C">
        <w:rPr>
          <w:rFonts w:ascii="Arial" w:eastAsia="宋体" w:hAnsi="Arial" w:cs="Arial"/>
          <w:color w:val="000000"/>
          <w:kern w:val="0"/>
          <w:sz w:val="24"/>
          <w:szCs w:val="24"/>
        </w:rPr>
        <w:t>;</w:t>
      </w:r>
      <w:r w:rsidRPr="00C9679C">
        <w:rPr>
          <w:rFonts w:ascii="Arial" w:eastAsia="宋体" w:hAnsi="Arial" w:cs="Arial"/>
          <w:color w:val="000000"/>
          <w:kern w:val="0"/>
          <w:sz w:val="24"/>
          <w:szCs w:val="24"/>
        </w:rPr>
        <w:t>的事前监督和事中监督没有给予足够的重视；六是，执法监督的结果如何处理缺乏明确的法律规范，对监督工作中发现的违法或者不当的行政执法行为，各地在处理和追究责任时往往流于形式，导致监督乏力。</w:t>
      </w:r>
      <w:r w:rsidRPr="00C9679C">
        <w:rPr>
          <w:rFonts w:ascii="Arial" w:eastAsia="宋体" w:hAnsi="Arial" w:cs="Arial"/>
          <w:color w:val="000000"/>
          <w:kern w:val="0"/>
          <w:sz w:val="24"/>
          <w:szCs w:val="24"/>
        </w:rPr>
        <w:br/>
      </w:r>
      <w:r w:rsidRPr="00C9679C">
        <w:rPr>
          <w:rFonts w:ascii="Arial" w:eastAsia="宋体" w:hAnsi="Arial" w:cs="Arial"/>
          <w:color w:val="000000"/>
          <w:kern w:val="0"/>
          <w:sz w:val="24"/>
          <w:szCs w:val="24"/>
        </w:rPr>
        <w:t xml:space="preserve">　　目前，除了行政监察、审计监督等专项监督制度已有法律和行政法规外，国家还没有专门就行政机关内部的层级监督制定相应的法律和行政法规。</w:t>
      </w:r>
      <w:r w:rsidRPr="00C9679C">
        <w:rPr>
          <w:rFonts w:ascii="Arial" w:eastAsia="宋体" w:hAnsi="Arial" w:cs="Arial"/>
          <w:color w:val="000000"/>
          <w:kern w:val="0"/>
          <w:sz w:val="24"/>
          <w:szCs w:val="24"/>
        </w:rPr>
        <w:t>2013</w:t>
      </w:r>
      <w:r w:rsidRPr="00C9679C">
        <w:rPr>
          <w:rFonts w:ascii="Arial" w:eastAsia="宋体" w:hAnsi="Arial" w:cs="Arial"/>
          <w:color w:val="000000"/>
          <w:kern w:val="0"/>
          <w:sz w:val="24"/>
          <w:szCs w:val="24"/>
        </w:rPr>
        <w:lastRenderedPageBreak/>
        <w:t>年，党的十八届三中全会提出：要完善行政执法程序，规范执法自由裁量权，加强对行政执法的监督，做到严格规范公正文明执法。为落实三中全会的这一要求，制定一部专门的地方性法规，通过地方立法建立健全我省行政执法监督制度，对深化行政执法体制改革，进一步完善行政执法监督机制，推进依法行政和法治政府建设，具有非常重大的意义。</w:t>
      </w:r>
      <w:r w:rsidRPr="00C9679C">
        <w:rPr>
          <w:rFonts w:ascii="Arial" w:eastAsia="宋体" w:hAnsi="Arial" w:cs="Arial"/>
          <w:color w:val="000000"/>
          <w:kern w:val="0"/>
          <w:sz w:val="24"/>
          <w:szCs w:val="24"/>
        </w:rPr>
        <w:br/>
      </w:r>
      <w:r w:rsidRPr="00C9679C">
        <w:rPr>
          <w:rFonts w:ascii="Arial" w:eastAsia="宋体" w:hAnsi="Arial" w:cs="Arial"/>
          <w:color w:val="000000"/>
          <w:kern w:val="0"/>
          <w:sz w:val="24"/>
          <w:szCs w:val="24"/>
        </w:rPr>
        <w:t xml:space="preserve">　　二、起草过程</w:t>
      </w:r>
      <w:r w:rsidRPr="00C9679C">
        <w:rPr>
          <w:rFonts w:ascii="Arial" w:eastAsia="宋体" w:hAnsi="Arial" w:cs="Arial"/>
          <w:color w:val="000000"/>
          <w:kern w:val="0"/>
          <w:sz w:val="24"/>
          <w:szCs w:val="24"/>
        </w:rPr>
        <w:br/>
      </w:r>
      <w:r w:rsidRPr="00C9679C">
        <w:rPr>
          <w:rFonts w:ascii="Arial" w:eastAsia="宋体" w:hAnsi="Arial" w:cs="Arial"/>
          <w:color w:val="000000"/>
          <w:kern w:val="0"/>
          <w:sz w:val="24"/>
          <w:szCs w:val="24"/>
        </w:rPr>
        <w:t xml:space="preserve">　　（一）调研起草阶段。省政府法制办对我省行政执法监督工作进行了专题调研，并组织专门人员对全省执法监督工作的现状、存在的问题等进行了全面梳理。同时，为了做好《条例草案》的起草工作，省政府法制办和省人大法工委安排专门人员组成联合起草小组，并赴外省进行了考察学习，学习借鉴外省市地方立法工作的好经验、好做法，起草完成了《条例草案》初稿。组织召开了两次专家论证会，在此基础上修改形成了草案征求意见稿，发送</w:t>
      </w:r>
      <w:r w:rsidRPr="00C9679C">
        <w:rPr>
          <w:rFonts w:ascii="Arial" w:eastAsia="宋体" w:hAnsi="Arial" w:cs="Arial"/>
          <w:color w:val="000000"/>
          <w:kern w:val="0"/>
          <w:sz w:val="24"/>
          <w:szCs w:val="24"/>
        </w:rPr>
        <w:t>17</w:t>
      </w:r>
      <w:r w:rsidRPr="00C9679C">
        <w:rPr>
          <w:rFonts w:ascii="Arial" w:eastAsia="宋体" w:hAnsi="Arial" w:cs="Arial"/>
          <w:color w:val="000000"/>
          <w:kern w:val="0"/>
          <w:sz w:val="24"/>
          <w:szCs w:val="24"/>
        </w:rPr>
        <w:t>个市政府、有关省直部门征求意见。起草小组根据征求的意见，对《条例草案》的总体思路和主要内容进行了十多次讨论修改，并再次送请全省</w:t>
      </w:r>
      <w:r w:rsidRPr="00C9679C">
        <w:rPr>
          <w:rFonts w:ascii="Arial" w:eastAsia="宋体" w:hAnsi="Arial" w:cs="Arial"/>
          <w:color w:val="000000"/>
          <w:kern w:val="0"/>
          <w:sz w:val="24"/>
          <w:szCs w:val="24"/>
        </w:rPr>
        <w:t>17</w:t>
      </w:r>
      <w:r w:rsidRPr="00C9679C">
        <w:rPr>
          <w:rFonts w:ascii="Arial" w:eastAsia="宋体" w:hAnsi="Arial" w:cs="Arial"/>
          <w:color w:val="000000"/>
          <w:kern w:val="0"/>
          <w:sz w:val="24"/>
          <w:szCs w:val="24"/>
        </w:rPr>
        <w:t>个设区的市和部分县（市）人民政府以及省直有关部门和单位征求意见，并在山东省政府法制网上公开征求意见。根据征集来的意见，在认真梳理、研究并吸收各有关方面意见的基础上，对草案进行了全面修改，形成了会签稿，发送省编办、省监察厅、省财政厅、省人力资源社会保障厅等</w:t>
      </w:r>
      <w:r w:rsidRPr="00C9679C">
        <w:rPr>
          <w:rFonts w:ascii="Arial" w:eastAsia="宋体" w:hAnsi="Arial" w:cs="Arial"/>
          <w:color w:val="000000"/>
          <w:kern w:val="0"/>
          <w:sz w:val="24"/>
          <w:szCs w:val="24"/>
        </w:rPr>
        <w:t>4</w:t>
      </w:r>
      <w:r w:rsidRPr="00C9679C">
        <w:rPr>
          <w:rFonts w:ascii="Arial" w:eastAsia="宋体" w:hAnsi="Arial" w:cs="Arial"/>
          <w:color w:val="000000"/>
          <w:kern w:val="0"/>
          <w:sz w:val="24"/>
          <w:szCs w:val="24"/>
        </w:rPr>
        <w:t>个部门进行会签。</w:t>
      </w:r>
      <w:r w:rsidRPr="00C9679C">
        <w:rPr>
          <w:rFonts w:ascii="Arial" w:eastAsia="宋体" w:hAnsi="Arial" w:cs="Arial"/>
          <w:color w:val="000000"/>
          <w:kern w:val="0"/>
          <w:sz w:val="24"/>
          <w:szCs w:val="24"/>
        </w:rPr>
        <w:br/>
      </w:r>
      <w:r w:rsidRPr="00C9679C">
        <w:rPr>
          <w:rFonts w:ascii="Arial" w:eastAsia="宋体" w:hAnsi="Arial" w:cs="Arial"/>
          <w:color w:val="000000"/>
          <w:kern w:val="0"/>
          <w:sz w:val="24"/>
          <w:szCs w:val="24"/>
        </w:rPr>
        <w:t xml:space="preserve">　　（二）省政府审议阶段。</w:t>
      </w:r>
      <w:r w:rsidRPr="00C9679C">
        <w:rPr>
          <w:rFonts w:ascii="Arial" w:eastAsia="宋体" w:hAnsi="Arial" w:cs="Arial"/>
          <w:color w:val="000000"/>
          <w:kern w:val="0"/>
          <w:sz w:val="24"/>
          <w:szCs w:val="24"/>
        </w:rPr>
        <w:t>2014</w:t>
      </w:r>
      <w:r w:rsidRPr="00C9679C">
        <w:rPr>
          <w:rFonts w:ascii="Arial" w:eastAsia="宋体" w:hAnsi="Arial" w:cs="Arial"/>
          <w:color w:val="000000"/>
          <w:kern w:val="0"/>
          <w:sz w:val="24"/>
          <w:szCs w:val="24"/>
        </w:rPr>
        <w:t>年，该条例列入省人大和省政府立法计划后，省政府法制办会同省编办、省监察厅对草案作了进一步修改完善，将草案上报省政府；根据省政府领导的要求，省政府法制办再一次组织召开专家论证会，并修改形成了上报省政府常务会议讨论的草案。经省政府第</w:t>
      </w:r>
      <w:r w:rsidRPr="00C9679C">
        <w:rPr>
          <w:rFonts w:ascii="Arial" w:eastAsia="宋体" w:hAnsi="Arial" w:cs="Arial"/>
          <w:color w:val="000000"/>
          <w:kern w:val="0"/>
          <w:sz w:val="24"/>
          <w:szCs w:val="24"/>
        </w:rPr>
        <w:t>30</w:t>
      </w:r>
      <w:r w:rsidRPr="00C9679C">
        <w:rPr>
          <w:rFonts w:ascii="Arial" w:eastAsia="宋体" w:hAnsi="Arial" w:cs="Arial"/>
          <w:color w:val="000000"/>
          <w:kern w:val="0"/>
          <w:sz w:val="24"/>
          <w:szCs w:val="24"/>
        </w:rPr>
        <w:t>次常务会议讨论通过，形成了提请省人大常委会审议的《条例草案》。</w:t>
      </w:r>
      <w:r w:rsidRPr="00C9679C">
        <w:rPr>
          <w:rFonts w:ascii="Arial" w:eastAsia="宋体" w:hAnsi="Arial" w:cs="Arial"/>
          <w:color w:val="000000"/>
          <w:kern w:val="0"/>
          <w:sz w:val="24"/>
          <w:szCs w:val="24"/>
        </w:rPr>
        <w:br/>
      </w:r>
      <w:r w:rsidRPr="00C9679C">
        <w:rPr>
          <w:rFonts w:ascii="Arial" w:eastAsia="宋体" w:hAnsi="Arial" w:cs="Arial"/>
          <w:color w:val="000000"/>
          <w:kern w:val="0"/>
          <w:sz w:val="24"/>
          <w:szCs w:val="24"/>
        </w:rPr>
        <w:t xml:space="preserve">　　（三）省人大审议阶段。《条例草案》报送省人大后，在审议期间，省人大派人专程赴全国人大和国务院法制办对《条例草案》的有关内容进行了请示。全国人大法工委和国务院法制办领导对《条例草案》给予了高度评价，对我省通过地方性法规规范行政执法监督的做法给予了充分肯定。同时，省人大组织人员赴外省进行了调研学习，汲取了外省的许多宝贵经验，并对《条例草案》进行了进一步修改完善。</w:t>
      </w:r>
      <w:r w:rsidRPr="00C9679C">
        <w:rPr>
          <w:rFonts w:ascii="Arial" w:eastAsia="宋体" w:hAnsi="Arial" w:cs="Arial"/>
          <w:color w:val="000000"/>
          <w:kern w:val="0"/>
          <w:sz w:val="24"/>
          <w:szCs w:val="24"/>
        </w:rPr>
        <w:t>2014</w:t>
      </w:r>
      <w:r w:rsidRPr="00C9679C">
        <w:rPr>
          <w:rFonts w:ascii="Arial" w:eastAsia="宋体" w:hAnsi="Arial" w:cs="Arial"/>
          <w:color w:val="000000"/>
          <w:kern w:val="0"/>
          <w:sz w:val="24"/>
          <w:szCs w:val="24"/>
        </w:rPr>
        <w:t>年</w:t>
      </w:r>
      <w:r w:rsidRPr="00C9679C">
        <w:rPr>
          <w:rFonts w:ascii="Arial" w:eastAsia="宋体" w:hAnsi="Arial" w:cs="Arial"/>
          <w:color w:val="000000"/>
          <w:kern w:val="0"/>
          <w:sz w:val="24"/>
          <w:szCs w:val="24"/>
        </w:rPr>
        <w:t>11</w:t>
      </w:r>
      <w:r w:rsidRPr="00C9679C">
        <w:rPr>
          <w:rFonts w:ascii="Arial" w:eastAsia="宋体" w:hAnsi="Arial" w:cs="Arial"/>
          <w:color w:val="000000"/>
          <w:kern w:val="0"/>
          <w:sz w:val="24"/>
          <w:szCs w:val="24"/>
        </w:rPr>
        <w:t>月</w:t>
      </w:r>
      <w:r w:rsidRPr="00C9679C">
        <w:rPr>
          <w:rFonts w:ascii="Arial" w:eastAsia="宋体" w:hAnsi="Arial" w:cs="Arial"/>
          <w:color w:val="000000"/>
          <w:kern w:val="0"/>
          <w:sz w:val="24"/>
          <w:szCs w:val="24"/>
        </w:rPr>
        <w:t>27</w:t>
      </w:r>
      <w:r w:rsidRPr="00C9679C">
        <w:rPr>
          <w:rFonts w:ascii="Arial" w:eastAsia="宋体" w:hAnsi="Arial" w:cs="Arial"/>
          <w:color w:val="000000"/>
          <w:kern w:val="0"/>
          <w:sz w:val="24"/>
          <w:szCs w:val="24"/>
        </w:rPr>
        <w:t>日，省第十二届人民代表大会</w:t>
      </w:r>
      <w:r w:rsidRPr="00C9679C">
        <w:rPr>
          <w:rFonts w:ascii="Arial" w:eastAsia="宋体" w:hAnsi="Arial" w:cs="Arial"/>
          <w:color w:val="000000"/>
          <w:kern w:val="0"/>
          <w:sz w:val="24"/>
          <w:szCs w:val="24"/>
        </w:rPr>
        <w:lastRenderedPageBreak/>
        <w:t>常务委员会第十一次会议审议并表决通过。</w:t>
      </w:r>
      <w:r w:rsidRPr="00C9679C">
        <w:rPr>
          <w:rFonts w:ascii="Arial" w:eastAsia="宋体" w:hAnsi="Arial" w:cs="Arial"/>
          <w:color w:val="000000"/>
          <w:kern w:val="0"/>
          <w:sz w:val="24"/>
          <w:szCs w:val="24"/>
        </w:rPr>
        <w:br/>
      </w:r>
      <w:r w:rsidRPr="00C9679C">
        <w:rPr>
          <w:rFonts w:ascii="Arial" w:eastAsia="宋体" w:hAnsi="Arial" w:cs="Arial"/>
          <w:color w:val="000000"/>
          <w:kern w:val="0"/>
          <w:sz w:val="24"/>
          <w:szCs w:val="24"/>
        </w:rPr>
        <w:t xml:space="preserve">　　三、需要说明的有关内容</w:t>
      </w:r>
      <w:r w:rsidRPr="00C9679C">
        <w:rPr>
          <w:rFonts w:ascii="Arial" w:eastAsia="宋体" w:hAnsi="Arial" w:cs="Arial"/>
          <w:color w:val="000000"/>
          <w:kern w:val="0"/>
          <w:sz w:val="24"/>
          <w:szCs w:val="24"/>
        </w:rPr>
        <w:br/>
      </w:r>
      <w:r w:rsidRPr="00C9679C">
        <w:rPr>
          <w:rFonts w:ascii="Arial" w:eastAsia="宋体" w:hAnsi="Arial" w:cs="Arial"/>
          <w:color w:val="000000"/>
          <w:kern w:val="0"/>
          <w:sz w:val="24"/>
          <w:szCs w:val="24"/>
        </w:rPr>
        <w:t xml:space="preserve">　　（一）关于《条例》的调整范围</w:t>
      </w:r>
      <w:r w:rsidRPr="00C9679C">
        <w:rPr>
          <w:rFonts w:ascii="Arial" w:eastAsia="宋体" w:hAnsi="Arial" w:cs="Arial"/>
          <w:color w:val="000000"/>
          <w:kern w:val="0"/>
          <w:sz w:val="24"/>
          <w:szCs w:val="24"/>
        </w:rPr>
        <w:br/>
      </w:r>
      <w:r w:rsidRPr="00C9679C">
        <w:rPr>
          <w:rFonts w:ascii="Arial" w:eastAsia="宋体" w:hAnsi="Arial" w:cs="Arial"/>
          <w:color w:val="000000"/>
          <w:kern w:val="0"/>
          <w:sz w:val="24"/>
          <w:szCs w:val="24"/>
        </w:rPr>
        <w:t xml:space="preserve">　　在我国的行政执法监督体系中，按照监督主体的不同，有广义和狭义两种不同的解释：广义的行政执法监督包括来自于行政机关外部的监督和行政机关自身的内部监督。外部监督主要是指国家权力机关、司法机关、新闻媒体和人民群众等对行政执法行为的监督；内部监督主要是指各级人民政府及其所属部门按照职责权限对行政执法行为进行的监督，主要包括行政机关内部层级监督、监察机关和审计机关的专门监督。狭义的行政执法监督仅指行政机关自身的内部监督。</w:t>
      </w:r>
      <w:r w:rsidRPr="00C9679C">
        <w:rPr>
          <w:rFonts w:ascii="Arial" w:eastAsia="宋体" w:hAnsi="Arial" w:cs="Arial"/>
          <w:color w:val="000000"/>
          <w:kern w:val="0"/>
          <w:sz w:val="24"/>
          <w:szCs w:val="24"/>
        </w:rPr>
        <w:br/>
      </w:r>
      <w:r w:rsidRPr="00C9679C">
        <w:rPr>
          <w:rFonts w:ascii="Arial" w:eastAsia="宋体" w:hAnsi="Arial" w:cs="Arial"/>
          <w:color w:val="000000"/>
          <w:kern w:val="0"/>
          <w:sz w:val="24"/>
          <w:szCs w:val="24"/>
        </w:rPr>
        <w:t xml:space="preserve">　　本《条例》所指的行政执法监督，仅指行政机关内部层级监督，即上级人民政府对下级人民政府、政府对其所属部门、上级政府工作部门对下级政府工作部门的行政执法活动进行的监督，不包括外部监督和行政机关内部的专门监督。同时，考虑到行政复议已有专门的立法予以规范，本条例也不将其作为调整对象。因此，本《条例》第二条明确规定：</w:t>
      </w:r>
      <w:r w:rsidRPr="00C9679C">
        <w:rPr>
          <w:rFonts w:ascii="Arial" w:eastAsia="宋体" w:hAnsi="Arial" w:cs="Arial"/>
          <w:color w:val="000000"/>
          <w:kern w:val="0"/>
          <w:sz w:val="24"/>
          <w:szCs w:val="24"/>
        </w:rPr>
        <w:t>&amp;</w:t>
      </w:r>
      <w:proofErr w:type="spellStart"/>
      <w:r w:rsidRPr="00C9679C">
        <w:rPr>
          <w:rFonts w:ascii="Arial" w:eastAsia="宋体" w:hAnsi="Arial" w:cs="Arial"/>
          <w:color w:val="000000"/>
          <w:kern w:val="0"/>
          <w:sz w:val="24"/>
          <w:szCs w:val="24"/>
        </w:rPr>
        <w:t>ldquo</w:t>
      </w:r>
      <w:proofErr w:type="spellEnd"/>
      <w:r w:rsidRPr="00C9679C">
        <w:rPr>
          <w:rFonts w:ascii="Arial" w:eastAsia="宋体" w:hAnsi="Arial" w:cs="Arial"/>
          <w:color w:val="000000"/>
          <w:kern w:val="0"/>
          <w:sz w:val="24"/>
          <w:szCs w:val="24"/>
        </w:rPr>
        <w:t>;</w:t>
      </w:r>
      <w:r w:rsidRPr="00C9679C">
        <w:rPr>
          <w:rFonts w:ascii="Arial" w:eastAsia="宋体" w:hAnsi="Arial" w:cs="Arial"/>
          <w:color w:val="000000"/>
          <w:kern w:val="0"/>
          <w:sz w:val="24"/>
          <w:szCs w:val="24"/>
        </w:rPr>
        <w:t>在本省行政区域内开展行政执法监督工作，应当遵守本条例。国家权力机关、司法机关、新闻媒体和公民、法人、其他组织对行政执法行为的监督，依照有关法律、法规的规定进行。行政复议、行政监察、审计监督等监督活动，依照有关法律、法规的规定进行。</w:t>
      </w:r>
      <w:r w:rsidRPr="00C9679C">
        <w:rPr>
          <w:rFonts w:ascii="Arial" w:eastAsia="宋体" w:hAnsi="Arial" w:cs="Arial"/>
          <w:color w:val="000000"/>
          <w:kern w:val="0"/>
          <w:sz w:val="24"/>
          <w:szCs w:val="24"/>
        </w:rPr>
        <w:t>&amp;</w:t>
      </w:r>
      <w:proofErr w:type="spellStart"/>
      <w:r w:rsidRPr="00C9679C">
        <w:rPr>
          <w:rFonts w:ascii="Arial" w:eastAsia="宋体" w:hAnsi="Arial" w:cs="Arial"/>
          <w:color w:val="000000"/>
          <w:kern w:val="0"/>
          <w:sz w:val="24"/>
          <w:szCs w:val="24"/>
        </w:rPr>
        <w:t>rdquo</w:t>
      </w:r>
      <w:proofErr w:type="spellEnd"/>
      <w:r w:rsidRPr="00C9679C">
        <w:rPr>
          <w:rFonts w:ascii="Arial" w:eastAsia="宋体" w:hAnsi="Arial" w:cs="Arial"/>
          <w:color w:val="000000"/>
          <w:kern w:val="0"/>
          <w:sz w:val="24"/>
          <w:szCs w:val="24"/>
        </w:rPr>
        <w:t>;</w:t>
      </w:r>
      <w:r w:rsidRPr="00C9679C">
        <w:rPr>
          <w:rFonts w:ascii="Arial" w:eastAsia="宋体" w:hAnsi="Arial" w:cs="Arial"/>
          <w:color w:val="000000"/>
          <w:kern w:val="0"/>
          <w:sz w:val="24"/>
          <w:szCs w:val="24"/>
        </w:rPr>
        <w:br/>
      </w:r>
      <w:r w:rsidRPr="00C9679C">
        <w:rPr>
          <w:rFonts w:ascii="Arial" w:eastAsia="宋体" w:hAnsi="Arial" w:cs="Arial"/>
          <w:color w:val="000000"/>
          <w:kern w:val="0"/>
          <w:sz w:val="24"/>
          <w:szCs w:val="24"/>
        </w:rPr>
        <w:t xml:space="preserve">　　《条例》的制定出台，从理论上理清了我国对行政执法的各种监督方式的不同，明确界定了行政执法监督的对象，将过去散见于国务院和省政府文件中对行政机关内部层级监督工作的要求上升为法律规范，并在总结过去实践经验的基础上进行了一些有益的制度创新，填补了行政机关内部层级监督方面的立法空白，提高了行政执法监督工作的针对性和可操作性。</w:t>
      </w:r>
      <w:r w:rsidRPr="00C9679C">
        <w:rPr>
          <w:rFonts w:ascii="Arial" w:eastAsia="宋体" w:hAnsi="Arial" w:cs="Arial"/>
          <w:color w:val="000000"/>
          <w:kern w:val="0"/>
          <w:sz w:val="24"/>
          <w:szCs w:val="24"/>
        </w:rPr>
        <w:br/>
      </w:r>
      <w:r w:rsidRPr="00C9679C">
        <w:rPr>
          <w:rFonts w:ascii="Arial" w:eastAsia="宋体" w:hAnsi="Arial" w:cs="Arial"/>
          <w:color w:val="000000"/>
          <w:kern w:val="0"/>
          <w:sz w:val="24"/>
          <w:szCs w:val="24"/>
        </w:rPr>
        <w:t xml:space="preserve">　　（二）关于行政执法监督体制</w:t>
      </w:r>
      <w:r w:rsidRPr="00C9679C">
        <w:rPr>
          <w:rFonts w:ascii="Arial" w:eastAsia="宋体" w:hAnsi="Arial" w:cs="Arial"/>
          <w:color w:val="000000"/>
          <w:kern w:val="0"/>
          <w:sz w:val="24"/>
          <w:szCs w:val="24"/>
        </w:rPr>
        <w:br/>
      </w:r>
      <w:r w:rsidRPr="00C9679C">
        <w:rPr>
          <w:rFonts w:ascii="Arial" w:eastAsia="宋体" w:hAnsi="Arial" w:cs="Arial"/>
          <w:color w:val="000000"/>
          <w:kern w:val="0"/>
          <w:sz w:val="24"/>
          <w:szCs w:val="24"/>
        </w:rPr>
        <w:t xml:space="preserve">　　虽然国务院文件中对行政执法监督体制作出过规定，但囿于规定过于笼统，导致实践中监督主体和职责划分不够明确，履职不到位的现象十分严重。本《条例》按照《地方各级人民代表大会和地方各级人民政府组织法》和《行政处罚法》、《行政许可法》等有关行政法律的规定，明确了行政执法监督的</w:t>
      </w:r>
      <w:r w:rsidRPr="00C9679C">
        <w:rPr>
          <w:rFonts w:ascii="Arial" w:eastAsia="宋体" w:hAnsi="Arial" w:cs="Arial"/>
          <w:color w:val="000000"/>
          <w:kern w:val="0"/>
          <w:sz w:val="24"/>
          <w:szCs w:val="24"/>
        </w:rPr>
        <w:lastRenderedPageBreak/>
        <w:t>主体，即行政执法监督机关：一是县级以上人民政府；二是县级以上人民政府工作部门，负责本行业的行政执法监督工作。</w:t>
      </w:r>
      <w:r w:rsidRPr="00C9679C">
        <w:rPr>
          <w:rFonts w:ascii="Arial" w:eastAsia="宋体" w:hAnsi="Arial" w:cs="Arial"/>
          <w:color w:val="000000"/>
          <w:kern w:val="0"/>
          <w:sz w:val="24"/>
          <w:szCs w:val="24"/>
        </w:rPr>
        <w:br/>
      </w:r>
      <w:r w:rsidRPr="00C9679C">
        <w:rPr>
          <w:rFonts w:ascii="Arial" w:eastAsia="宋体" w:hAnsi="Arial" w:cs="Arial"/>
          <w:color w:val="000000"/>
          <w:kern w:val="0"/>
          <w:sz w:val="24"/>
          <w:szCs w:val="24"/>
        </w:rPr>
        <w:t xml:space="preserve">　　</w:t>
      </w:r>
      <w:r w:rsidRPr="00C9679C">
        <w:rPr>
          <w:rFonts w:ascii="Arial" w:eastAsia="宋体" w:hAnsi="Arial" w:cs="Arial"/>
          <w:color w:val="000000"/>
          <w:kern w:val="0"/>
          <w:sz w:val="24"/>
          <w:szCs w:val="24"/>
        </w:rPr>
        <w:t>1</w:t>
      </w:r>
      <w:r w:rsidRPr="00C9679C">
        <w:rPr>
          <w:rFonts w:ascii="Arial" w:eastAsia="宋体" w:hAnsi="Arial" w:cs="Arial"/>
          <w:color w:val="000000"/>
          <w:kern w:val="0"/>
          <w:sz w:val="24"/>
          <w:szCs w:val="24"/>
        </w:rPr>
        <w:t>、县级以上人民政府的监督职责。按照本《条例》第四条的规定，县级以上人民政府的监督职责，包括三个方面：一是对所属各工作部门和下级人民政府进行监督。这也是《地方各级人民代表大会和地方各级人民政府组织法》赋予县级以上人民政府的法定职责；二是对设立在本行政区域内实行垂直领导的行政执法部门的行政执法行为进行监督。如果法律、行政法规对此另有规定的，从其规定，比如对海关、外汇、国家安全等实行垂直领导的部门的行政执法监督工作，按照有关法律的规定实施；三是对其依法设立的派出机关或者派出机构的行政执法行为进行监督。</w:t>
      </w:r>
      <w:r w:rsidRPr="00C9679C">
        <w:rPr>
          <w:rFonts w:ascii="Arial" w:eastAsia="宋体" w:hAnsi="Arial" w:cs="Arial"/>
          <w:color w:val="000000"/>
          <w:kern w:val="0"/>
          <w:sz w:val="24"/>
          <w:szCs w:val="24"/>
        </w:rPr>
        <w:br/>
      </w:r>
      <w:r w:rsidRPr="00C9679C">
        <w:rPr>
          <w:rFonts w:ascii="Arial" w:eastAsia="宋体" w:hAnsi="Arial" w:cs="Arial"/>
          <w:color w:val="000000"/>
          <w:kern w:val="0"/>
          <w:sz w:val="24"/>
          <w:szCs w:val="24"/>
        </w:rPr>
        <w:t xml:space="preserve">　　</w:t>
      </w:r>
      <w:r w:rsidRPr="00C9679C">
        <w:rPr>
          <w:rFonts w:ascii="Arial" w:eastAsia="宋体" w:hAnsi="Arial" w:cs="Arial"/>
          <w:color w:val="000000"/>
          <w:kern w:val="0"/>
          <w:sz w:val="24"/>
          <w:szCs w:val="24"/>
        </w:rPr>
        <w:t>2</w:t>
      </w:r>
      <w:r w:rsidRPr="00C9679C">
        <w:rPr>
          <w:rFonts w:ascii="Arial" w:eastAsia="宋体" w:hAnsi="Arial" w:cs="Arial"/>
          <w:color w:val="000000"/>
          <w:kern w:val="0"/>
          <w:sz w:val="24"/>
          <w:szCs w:val="24"/>
        </w:rPr>
        <w:t>、政府法制工作部门的工作职责。本《条例》在明确了县级以上人民政府是监督机关的同时，规定了负责政府法制工作的部门负责本级人民政府行政执法监督的具体工作。县级以上人民政府作为本行政区域内的最高行政领导机关，职权涉及经济、社会管理的方方面面，如果没有明确具体承担部门，很容易造成行政执法监督工作流于形式，难以深入，这也是过去行政执法监督工作存在诸多问题的主要原因之一。长期以来，政府法制工作部门按照国家和省里有关文件规定，一直实际承担着行政执法监督的许多具体工作，本《条例》通过立法的方式予以确认，从根本上解决了政府法制工作部门的监督工作职责缺少法律依据的问题，有利于本级人民政府行政执法监督工作的深入开展。</w:t>
      </w:r>
      <w:r w:rsidRPr="00C9679C">
        <w:rPr>
          <w:rFonts w:ascii="Arial" w:eastAsia="宋体" w:hAnsi="Arial" w:cs="Arial"/>
          <w:color w:val="000000"/>
          <w:kern w:val="0"/>
          <w:sz w:val="24"/>
          <w:szCs w:val="24"/>
        </w:rPr>
        <w:br/>
      </w:r>
      <w:r w:rsidRPr="00C9679C">
        <w:rPr>
          <w:rFonts w:ascii="Arial" w:eastAsia="宋体" w:hAnsi="Arial" w:cs="Arial"/>
          <w:color w:val="000000"/>
          <w:kern w:val="0"/>
          <w:sz w:val="24"/>
          <w:szCs w:val="24"/>
        </w:rPr>
        <w:t xml:space="preserve">　　</w:t>
      </w:r>
      <w:r w:rsidRPr="00C9679C">
        <w:rPr>
          <w:rFonts w:ascii="Arial" w:eastAsia="宋体" w:hAnsi="Arial" w:cs="Arial"/>
          <w:color w:val="000000"/>
          <w:kern w:val="0"/>
          <w:sz w:val="24"/>
          <w:szCs w:val="24"/>
        </w:rPr>
        <w:t>3</w:t>
      </w:r>
      <w:r w:rsidRPr="00C9679C">
        <w:rPr>
          <w:rFonts w:ascii="Arial" w:eastAsia="宋体" w:hAnsi="Arial" w:cs="Arial"/>
          <w:color w:val="000000"/>
          <w:kern w:val="0"/>
          <w:sz w:val="24"/>
          <w:szCs w:val="24"/>
        </w:rPr>
        <w:t>、县级以上人民政府工作部门的监督职责。县级以上人民政府工作部门作为行政执法监督机关，负责本行业的行政执法监督工作。《行政处罚法》、《行政许可法》、《行政强制法》和行业内有关法律、法规规定了行业主管部门的监督职责。但与县级以上人民政府相比，行业主管部门并不享有与其完全相同的监督权限，比如行业主管部门并不当然享有对下级执法机关所有违法行为的撤销权，是否可以撤销要具体看是否有相关的法律依据。</w:t>
      </w:r>
      <w:r w:rsidRPr="00C9679C">
        <w:rPr>
          <w:rFonts w:ascii="Arial" w:eastAsia="宋体" w:hAnsi="Arial" w:cs="Arial"/>
          <w:color w:val="000000"/>
          <w:kern w:val="0"/>
          <w:sz w:val="24"/>
          <w:szCs w:val="24"/>
        </w:rPr>
        <w:br/>
      </w:r>
      <w:r w:rsidRPr="00C9679C">
        <w:rPr>
          <w:rFonts w:ascii="Arial" w:eastAsia="宋体" w:hAnsi="Arial" w:cs="Arial"/>
          <w:color w:val="000000"/>
          <w:kern w:val="0"/>
          <w:sz w:val="24"/>
          <w:szCs w:val="24"/>
        </w:rPr>
        <w:t xml:space="preserve">　　（三）关于行政执法监督的主要内容</w:t>
      </w:r>
      <w:r w:rsidRPr="00C9679C">
        <w:rPr>
          <w:rFonts w:ascii="Arial" w:eastAsia="宋体" w:hAnsi="Arial" w:cs="Arial"/>
          <w:color w:val="000000"/>
          <w:kern w:val="0"/>
          <w:sz w:val="24"/>
          <w:szCs w:val="24"/>
        </w:rPr>
        <w:br/>
      </w:r>
      <w:r w:rsidRPr="00C9679C">
        <w:rPr>
          <w:rFonts w:ascii="Arial" w:eastAsia="宋体" w:hAnsi="Arial" w:cs="Arial"/>
          <w:color w:val="000000"/>
          <w:kern w:val="0"/>
          <w:sz w:val="24"/>
          <w:szCs w:val="24"/>
        </w:rPr>
        <w:t xml:space="preserve">　　</w:t>
      </w:r>
      <w:r w:rsidRPr="00C9679C">
        <w:rPr>
          <w:rFonts w:ascii="Arial" w:eastAsia="宋体" w:hAnsi="Arial" w:cs="Arial"/>
          <w:color w:val="000000"/>
          <w:kern w:val="0"/>
          <w:sz w:val="24"/>
          <w:szCs w:val="24"/>
        </w:rPr>
        <w:t>1</w:t>
      </w:r>
      <w:r w:rsidRPr="00C9679C">
        <w:rPr>
          <w:rFonts w:ascii="Arial" w:eastAsia="宋体" w:hAnsi="Arial" w:cs="Arial"/>
          <w:color w:val="000000"/>
          <w:kern w:val="0"/>
          <w:sz w:val="24"/>
          <w:szCs w:val="24"/>
        </w:rPr>
        <w:t>、监督的主要内容。《条例》第二章采用列举方式，明确了行政执法监督的内容和监督的具体行政行为，涉及行政处罚、行政强制、行政许可、行政征收、行政给付、行政裁决等各种行政执法行为，既包括监督行政执法主体和人</w:t>
      </w:r>
      <w:r w:rsidRPr="00C9679C">
        <w:rPr>
          <w:rFonts w:ascii="Arial" w:eastAsia="宋体" w:hAnsi="Arial" w:cs="Arial"/>
          <w:color w:val="000000"/>
          <w:kern w:val="0"/>
          <w:sz w:val="24"/>
          <w:szCs w:val="24"/>
        </w:rPr>
        <w:lastRenderedPageBreak/>
        <w:t>员的合法性，行政执法裁量权的合理行使以及执法程序的合法、正当，也包括综合执法改革工作的有关实施情况；既可以对具体行政执法行为进行全过程实时监督，也可以通过规范执法权的行使进行整体监督，可以说涵盖了行政执法工作的方方面面。</w:t>
      </w:r>
      <w:r w:rsidRPr="00C9679C">
        <w:rPr>
          <w:rFonts w:ascii="Arial" w:eastAsia="宋体" w:hAnsi="Arial" w:cs="Arial"/>
          <w:color w:val="000000"/>
          <w:kern w:val="0"/>
          <w:sz w:val="24"/>
          <w:szCs w:val="24"/>
        </w:rPr>
        <w:br/>
      </w:r>
      <w:r w:rsidRPr="00C9679C">
        <w:rPr>
          <w:rFonts w:ascii="Arial" w:eastAsia="宋体" w:hAnsi="Arial" w:cs="Arial"/>
          <w:color w:val="000000"/>
          <w:kern w:val="0"/>
          <w:sz w:val="24"/>
          <w:szCs w:val="24"/>
        </w:rPr>
        <w:t xml:space="preserve">　　</w:t>
      </w:r>
      <w:r w:rsidRPr="00C9679C">
        <w:rPr>
          <w:rFonts w:ascii="Arial" w:eastAsia="宋体" w:hAnsi="Arial" w:cs="Arial"/>
          <w:color w:val="000000"/>
          <w:kern w:val="0"/>
          <w:sz w:val="24"/>
          <w:szCs w:val="24"/>
        </w:rPr>
        <w:t>2</w:t>
      </w:r>
      <w:r w:rsidRPr="00C9679C">
        <w:rPr>
          <w:rFonts w:ascii="Arial" w:eastAsia="宋体" w:hAnsi="Arial" w:cs="Arial"/>
          <w:color w:val="000000"/>
          <w:kern w:val="0"/>
          <w:sz w:val="24"/>
          <w:szCs w:val="24"/>
        </w:rPr>
        <w:t>、监督措施。《条例》具体规定了实施行政执法监督的十项基本措施，这既是规范行政执法的手段，也是实施监督的手段，主要包括：行政执法主体公告制度、行政执法人员持证上岗和资格管理制度、行政执法听证主持人资格认证制度、行政执法裁量基准制度、重大行政执法决定法制审核制度、行政执法案卷评查制度、行政执法责任制、行政执法评议考核制度、法律法规规章实施情况报告制度和行政执法争议协调裁决制度。从这些措施的具体内容来看，基本上涵盖了对行政执法行为从事前、事中，到事后的完整链条的监督，比如通过实行行政执法主体公告制度及行政执法人员持证上岗和资格管理制度，从源头上控制了没有执法权的单位和人员进行执法，也坚决杜绝了群众强烈关注的所谓</w:t>
      </w:r>
      <w:r w:rsidRPr="00C9679C">
        <w:rPr>
          <w:rFonts w:ascii="Arial" w:eastAsia="宋体" w:hAnsi="Arial" w:cs="Arial"/>
          <w:color w:val="000000"/>
          <w:kern w:val="0"/>
          <w:sz w:val="24"/>
          <w:szCs w:val="24"/>
        </w:rPr>
        <w:t>&amp;</w:t>
      </w:r>
      <w:proofErr w:type="spellStart"/>
      <w:r w:rsidRPr="00C9679C">
        <w:rPr>
          <w:rFonts w:ascii="Arial" w:eastAsia="宋体" w:hAnsi="Arial" w:cs="Arial"/>
          <w:color w:val="000000"/>
          <w:kern w:val="0"/>
          <w:sz w:val="24"/>
          <w:szCs w:val="24"/>
        </w:rPr>
        <w:t>ldquo</w:t>
      </w:r>
      <w:proofErr w:type="spellEnd"/>
      <w:r w:rsidRPr="00C9679C">
        <w:rPr>
          <w:rFonts w:ascii="Arial" w:eastAsia="宋体" w:hAnsi="Arial" w:cs="Arial"/>
          <w:color w:val="000000"/>
          <w:kern w:val="0"/>
          <w:sz w:val="24"/>
          <w:szCs w:val="24"/>
        </w:rPr>
        <w:t>;</w:t>
      </w:r>
      <w:r w:rsidRPr="00C9679C">
        <w:rPr>
          <w:rFonts w:ascii="Arial" w:eastAsia="宋体" w:hAnsi="Arial" w:cs="Arial"/>
          <w:color w:val="000000"/>
          <w:kern w:val="0"/>
          <w:sz w:val="24"/>
          <w:szCs w:val="24"/>
        </w:rPr>
        <w:t>临时工</w:t>
      </w:r>
      <w:r w:rsidRPr="00C9679C">
        <w:rPr>
          <w:rFonts w:ascii="Arial" w:eastAsia="宋体" w:hAnsi="Arial" w:cs="Arial"/>
          <w:color w:val="000000"/>
          <w:kern w:val="0"/>
          <w:sz w:val="24"/>
          <w:szCs w:val="24"/>
        </w:rPr>
        <w:t>&amp;</w:t>
      </w:r>
      <w:proofErr w:type="spellStart"/>
      <w:r w:rsidRPr="00C9679C">
        <w:rPr>
          <w:rFonts w:ascii="Arial" w:eastAsia="宋体" w:hAnsi="Arial" w:cs="Arial"/>
          <w:color w:val="000000"/>
          <w:kern w:val="0"/>
          <w:sz w:val="24"/>
          <w:szCs w:val="24"/>
        </w:rPr>
        <w:t>rdquo</w:t>
      </w:r>
      <w:proofErr w:type="spellEnd"/>
      <w:r w:rsidRPr="00C9679C">
        <w:rPr>
          <w:rFonts w:ascii="Arial" w:eastAsia="宋体" w:hAnsi="Arial" w:cs="Arial"/>
          <w:color w:val="000000"/>
          <w:kern w:val="0"/>
          <w:sz w:val="24"/>
          <w:szCs w:val="24"/>
        </w:rPr>
        <w:t>;</w:t>
      </w:r>
      <w:r w:rsidRPr="00C9679C">
        <w:rPr>
          <w:rFonts w:ascii="Arial" w:eastAsia="宋体" w:hAnsi="Arial" w:cs="Arial"/>
          <w:color w:val="000000"/>
          <w:kern w:val="0"/>
          <w:sz w:val="24"/>
          <w:szCs w:val="24"/>
        </w:rPr>
        <w:t>执法问题，即明确规定行政执法机关聘用的劳动合同制人员、劳务派遣人员、临时借调人员以及其他无行政执法资格的人员不得从事行政执法工作；通过实行行政执法听证主持人资格认证、执法裁量基准、重大执法决定法制审核等制度，对行政执法行为的实施过程进行监督；通过实行执法案卷评查和执法评议考核等制度，从事后对行政执法行为予以规范和审查，发现问题及时纠正。同时，在进行评议考核时，引入了第三方评议机制，即政府可以委托具备条件且信誉良好的社会组织或者机构对行政执法活动进行外部评议，提高评议工作的透明性和公正性，更好地实现对行政执法活动的监督。</w:t>
      </w:r>
      <w:r w:rsidRPr="00C9679C">
        <w:rPr>
          <w:rFonts w:ascii="Arial" w:eastAsia="宋体" w:hAnsi="Arial" w:cs="Arial"/>
          <w:color w:val="000000"/>
          <w:kern w:val="0"/>
          <w:sz w:val="24"/>
          <w:szCs w:val="24"/>
        </w:rPr>
        <w:br/>
      </w:r>
      <w:r w:rsidRPr="00C9679C">
        <w:rPr>
          <w:rFonts w:ascii="Arial" w:eastAsia="宋体" w:hAnsi="Arial" w:cs="Arial"/>
          <w:color w:val="000000"/>
          <w:kern w:val="0"/>
          <w:sz w:val="24"/>
          <w:szCs w:val="24"/>
        </w:rPr>
        <w:t xml:space="preserve">　　（四）关于行政执法监督的实施</w:t>
      </w:r>
      <w:r w:rsidRPr="00C9679C">
        <w:rPr>
          <w:rFonts w:ascii="Arial" w:eastAsia="宋体" w:hAnsi="Arial" w:cs="Arial"/>
          <w:color w:val="000000"/>
          <w:kern w:val="0"/>
          <w:sz w:val="24"/>
          <w:szCs w:val="24"/>
        </w:rPr>
        <w:br/>
      </w:r>
      <w:r w:rsidRPr="00C9679C">
        <w:rPr>
          <w:rFonts w:ascii="Arial" w:eastAsia="宋体" w:hAnsi="Arial" w:cs="Arial"/>
          <w:color w:val="000000"/>
          <w:kern w:val="0"/>
          <w:sz w:val="24"/>
          <w:szCs w:val="24"/>
        </w:rPr>
        <w:t xml:space="preserve">　　主要包括三个方面的内容：一是监督程序；二是监督结果的适用；三是对实施违法或者不当行政执法行为的机关或者执法人员进行责任追究。</w:t>
      </w:r>
      <w:r w:rsidRPr="00C9679C">
        <w:rPr>
          <w:rFonts w:ascii="Arial" w:eastAsia="宋体" w:hAnsi="Arial" w:cs="Arial"/>
          <w:color w:val="000000"/>
          <w:kern w:val="0"/>
          <w:sz w:val="24"/>
          <w:szCs w:val="24"/>
        </w:rPr>
        <w:br/>
      </w:r>
      <w:r w:rsidRPr="00C9679C">
        <w:rPr>
          <w:rFonts w:ascii="Arial" w:eastAsia="宋体" w:hAnsi="Arial" w:cs="Arial"/>
          <w:color w:val="000000"/>
          <w:kern w:val="0"/>
          <w:sz w:val="24"/>
          <w:szCs w:val="24"/>
        </w:rPr>
        <w:t xml:space="preserve">　　</w:t>
      </w:r>
      <w:r w:rsidRPr="00C9679C">
        <w:rPr>
          <w:rFonts w:ascii="Arial" w:eastAsia="宋体" w:hAnsi="Arial" w:cs="Arial"/>
          <w:color w:val="000000"/>
          <w:kern w:val="0"/>
          <w:sz w:val="24"/>
          <w:szCs w:val="24"/>
        </w:rPr>
        <w:t>1</w:t>
      </w:r>
      <w:r w:rsidRPr="00C9679C">
        <w:rPr>
          <w:rFonts w:ascii="Arial" w:eastAsia="宋体" w:hAnsi="Arial" w:cs="Arial"/>
          <w:color w:val="000000"/>
          <w:kern w:val="0"/>
          <w:sz w:val="24"/>
          <w:szCs w:val="24"/>
        </w:rPr>
        <w:t>、监督程序。《条例》第三章明确了行政执法监督的程序，规定了监督计划、监督方式、调查取证等内容，建立了约请谈话制度。约请谈话制度是我省在总结过去市地工作经验的基础上所进行的制度创新，即行政执法监督机关在实施行政执法监督过程中，发现行政执法机关的行政执法行为违法或者不当等</w:t>
      </w:r>
      <w:r w:rsidRPr="00C9679C">
        <w:rPr>
          <w:rFonts w:ascii="Arial" w:eastAsia="宋体" w:hAnsi="Arial" w:cs="Arial"/>
          <w:color w:val="000000"/>
          <w:kern w:val="0"/>
          <w:sz w:val="24"/>
          <w:szCs w:val="24"/>
        </w:rPr>
        <w:lastRenderedPageBreak/>
        <w:t>比例较高的，可以约请该行政执法机关的相关负责人进行谈话。通过实施这项制度，及时发现行政执法机关存在的突出、普遍问题，并通过约谈，督促其采取措施予以纠正，达到整体规范、提前预防的效果，提高了监督的针对性和效率。</w:t>
      </w:r>
      <w:r w:rsidRPr="00C9679C">
        <w:rPr>
          <w:rFonts w:ascii="Arial" w:eastAsia="宋体" w:hAnsi="Arial" w:cs="Arial"/>
          <w:color w:val="000000"/>
          <w:kern w:val="0"/>
          <w:sz w:val="24"/>
          <w:szCs w:val="24"/>
        </w:rPr>
        <w:br/>
      </w:r>
      <w:r w:rsidRPr="00C9679C">
        <w:rPr>
          <w:rFonts w:ascii="Arial" w:eastAsia="宋体" w:hAnsi="Arial" w:cs="Arial"/>
          <w:color w:val="000000"/>
          <w:kern w:val="0"/>
          <w:sz w:val="24"/>
          <w:szCs w:val="24"/>
        </w:rPr>
        <w:t xml:space="preserve">　　</w:t>
      </w:r>
      <w:r w:rsidRPr="00C9679C">
        <w:rPr>
          <w:rFonts w:ascii="Arial" w:eastAsia="宋体" w:hAnsi="Arial" w:cs="Arial"/>
          <w:color w:val="000000"/>
          <w:kern w:val="0"/>
          <w:sz w:val="24"/>
          <w:szCs w:val="24"/>
        </w:rPr>
        <w:t>2</w:t>
      </w:r>
      <w:r w:rsidRPr="00C9679C">
        <w:rPr>
          <w:rFonts w:ascii="Arial" w:eastAsia="宋体" w:hAnsi="Arial" w:cs="Arial"/>
          <w:color w:val="000000"/>
          <w:kern w:val="0"/>
          <w:sz w:val="24"/>
          <w:szCs w:val="24"/>
        </w:rPr>
        <w:t>、监督处理。《条例》第四章规定了对监督结果的处理，即行政执法监督机关通过监督检查等方式，发现行政执法行为违法或者不当的，应当作出相应的处理。处理分为两个步骤：一是由行政执法监督机关制作《行政执法监督意见书》，督促行政执法机关自行纠正违法或者不当的行政执法行为；二是行政执法机关逾期没有纠正的，由监督机关根据行为的性质、程度等，分别作出责令限期履行、责令补正或者改正、撤销、确认违法或者无效的处理决定，并制作《行政执法监督决定书》。因此，第一个步骤是行政执法监督机关必须要走的步骤，给行政执法机关自行纠正的机会，这样既符合行政执法监督的目的，也能提高监督的效率。如果行政执法机关自行纠正了，行政执法监督机关就没有必要作出处理决定了，只有在逾期没有按照意见书自行纠正的，才分别作出相应的处理。《条例》规定的四种处理决定分别适用不同的违法情形：对于行政执法机关无正当理由不履行或者拖延履行法定职责的，责令其限期履行；对于行政执法机关的行政执法文书存在轻微瑕疵的，责令其补正或者改正；对于行政执法机关作出一般违法行政执法行为，或者不当行政执法行为的，由监督机关予以撤销；对于行政执法机关作出的行政执法行为存在严重或明显法律缺陷，但不适宜被撤销的，由监督机关确认违法或者无效。</w:t>
      </w:r>
      <w:r w:rsidRPr="00C9679C">
        <w:rPr>
          <w:rFonts w:ascii="Arial" w:eastAsia="宋体" w:hAnsi="Arial" w:cs="Arial"/>
          <w:color w:val="000000"/>
          <w:kern w:val="0"/>
          <w:sz w:val="24"/>
          <w:szCs w:val="24"/>
        </w:rPr>
        <w:br/>
      </w:r>
      <w:r w:rsidRPr="00C9679C">
        <w:rPr>
          <w:rFonts w:ascii="Arial" w:eastAsia="宋体" w:hAnsi="Arial" w:cs="Arial"/>
          <w:color w:val="000000"/>
          <w:kern w:val="0"/>
          <w:sz w:val="24"/>
          <w:szCs w:val="24"/>
        </w:rPr>
        <w:t xml:space="preserve">　　</w:t>
      </w:r>
      <w:r w:rsidRPr="00C9679C">
        <w:rPr>
          <w:rFonts w:ascii="Arial" w:eastAsia="宋体" w:hAnsi="Arial" w:cs="Arial"/>
          <w:color w:val="000000"/>
          <w:kern w:val="0"/>
          <w:sz w:val="24"/>
          <w:szCs w:val="24"/>
        </w:rPr>
        <w:t>3</w:t>
      </w:r>
      <w:r w:rsidRPr="00C9679C">
        <w:rPr>
          <w:rFonts w:ascii="Arial" w:eastAsia="宋体" w:hAnsi="Arial" w:cs="Arial"/>
          <w:color w:val="000000"/>
          <w:kern w:val="0"/>
          <w:sz w:val="24"/>
          <w:szCs w:val="24"/>
        </w:rPr>
        <w:t>、责任追究。《条例》第五章对行政执法机关及其执法人员、行政执法监督机构及其工作人员的违法违纪行为，规定了相应的法律责任。本章第三十七条规定了十一种行政执法机关的违法情形，主要涉及未按照本《条例》规定的监督内容和措施履行相关职责的；未依法履行行政执法职责或者违反法定程序的；拒绝或者阻碍行政执法监督工作人员依法履行监督职责，拒不执行监督处理决定或拒不报告决定执行情况的等等。有其中一种或几种违法情形的，由县级以上人民政府责令限期改正，拒不改正的，给予通报批评，对直接负责的主管人员和其他直接责任人员依法给予处分。第三十八条针对行政执法人员的六种违法违纪行为规定了相应的法律责任。本《条例》同时规定了县级以上人民</w:t>
      </w:r>
      <w:r w:rsidRPr="00C9679C">
        <w:rPr>
          <w:rFonts w:ascii="Arial" w:eastAsia="宋体" w:hAnsi="Arial" w:cs="Arial"/>
          <w:color w:val="000000"/>
          <w:kern w:val="0"/>
          <w:sz w:val="24"/>
          <w:szCs w:val="24"/>
        </w:rPr>
        <w:lastRenderedPageBreak/>
        <w:t>政府负责法制工作的部门及其工作人员的法律责任。政府法制部门作为本级人民政府具体承担监督工作的部门，应当严格按照本《条例》规定的职责权限、方式和程序履行监督职责，忠于职守，秉公处理。如果有不依法履行监督职责，造成严重后果的；利用监督职权谋取私利的；涂改、转借行政执法监督证件的等等情形，由本级人民政府责令改正，并由省人民政府收回其监督证件；情节严重的，对直接负责的主管人员和其他直接责任人员依法给予处分；构成犯罪的，依法追究刑事责任。</w:t>
      </w:r>
      <w:r w:rsidRPr="00C9679C">
        <w:rPr>
          <w:rFonts w:ascii="Arial" w:eastAsia="宋体" w:hAnsi="Arial" w:cs="Arial"/>
          <w:color w:val="000000"/>
          <w:kern w:val="0"/>
          <w:sz w:val="24"/>
          <w:szCs w:val="24"/>
        </w:rPr>
        <w:br/>
      </w:r>
      <w:r w:rsidRPr="00C9679C">
        <w:rPr>
          <w:rFonts w:ascii="Arial" w:eastAsia="宋体" w:hAnsi="Arial" w:cs="Arial"/>
          <w:color w:val="000000"/>
          <w:kern w:val="0"/>
          <w:sz w:val="24"/>
          <w:szCs w:val="24"/>
        </w:rPr>
        <w:t xml:space="preserve">　　（稿件由山东省政府法制网提供）</w:t>
      </w:r>
    </w:p>
    <w:p w14:paraId="11CBDB5B" w14:textId="1C5DDE9B" w:rsidR="00AA3AFD" w:rsidRPr="00F36FF5" w:rsidRDefault="00AA3AFD" w:rsidP="00A52C49">
      <w:pPr>
        <w:pStyle w:val="a3"/>
        <w:spacing w:before="0" w:beforeAutospacing="0" w:after="0" w:afterAutospacing="0" w:line="480" w:lineRule="atLeast"/>
        <w:rPr>
          <w:rFonts w:ascii="Arial" w:hAnsi="Arial" w:cs="Arial" w:hint="eastAsia"/>
          <w:color w:val="000000"/>
        </w:rPr>
      </w:pPr>
    </w:p>
    <w:sectPr w:rsidR="00AA3AFD" w:rsidRPr="00F36F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7B6843"/>
    <w:multiLevelType w:val="multilevel"/>
    <w:tmpl w:val="52AA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FD"/>
    <w:rsid w:val="00067D0C"/>
    <w:rsid w:val="00096993"/>
    <w:rsid w:val="000A38E0"/>
    <w:rsid w:val="00236192"/>
    <w:rsid w:val="00240D1E"/>
    <w:rsid w:val="002711D2"/>
    <w:rsid w:val="0028289B"/>
    <w:rsid w:val="002D1BE3"/>
    <w:rsid w:val="00361CC6"/>
    <w:rsid w:val="003A46AC"/>
    <w:rsid w:val="004B007E"/>
    <w:rsid w:val="004F7E0C"/>
    <w:rsid w:val="00505BA0"/>
    <w:rsid w:val="00544427"/>
    <w:rsid w:val="0061216E"/>
    <w:rsid w:val="006A0CAB"/>
    <w:rsid w:val="00710A4F"/>
    <w:rsid w:val="007233D5"/>
    <w:rsid w:val="00755E17"/>
    <w:rsid w:val="008615B7"/>
    <w:rsid w:val="00864264"/>
    <w:rsid w:val="00874FF3"/>
    <w:rsid w:val="00875901"/>
    <w:rsid w:val="00877C42"/>
    <w:rsid w:val="008B4D19"/>
    <w:rsid w:val="00995DD0"/>
    <w:rsid w:val="009D0A47"/>
    <w:rsid w:val="009F389D"/>
    <w:rsid w:val="009F778C"/>
    <w:rsid w:val="00A32FA7"/>
    <w:rsid w:val="00A52C49"/>
    <w:rsid w:val="00AA3AFD"/>
    <w:rsid w:val="00AE66F7"/>
    <w:rsid w:val="00B71F18"/>
    <w:rsid w:val="00BD138B"/>
    <w:rsid w:val="00BF1550"/>
    <w:rsid w:val="00BF5FB5"/>
    <w:rsid w:val="00C35716"/>
    <w:rsid w:val="00C9679C"/>
    <w:rsid w:val="00D82E72"/>
    <w:rsid w:val="00DB2C5B"/>
    <w:rsid w:val="00E8638D"/>
    <w:rsid w:val="00EF3642"/>
    <w:rsid w:val="00F015B4"/>
    <w:rsid w:val="00F017AA"/>
    <w:rsid w:val="00F2021F"/>
    <w:rsid w:val="00F36FF5"/>
    <w:rsid w:val="00F93C7D"/>
    <w:rsid w:val="00FA5583"/>
    <w:rsid w:val="00FC04D6"/>
    <w:rsid w:val="00FE7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1D2E"/>
  <w15:chartTrackingRefBased/>
  <w15:docId w15:val="{5D956253-93C8-4D99-AD24-06E1C54D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5E1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55E17"/>
    <w:rPr>
      <w:b/>
      <w:bCs/>
    </w:rPr>
  </w:style>
  <w:style w:type="character" w:styleId="a5">
    <w:name w:val="Hyperlink"/>
    <w:basedOn w:val="a0"/>
    <w:uiPriority w:val="99"/>
    <w:semiHidden/>
    <w:unhideWhenUsed/>
    <w:rsid w:val="00710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9895">
      <w:bodyDiv w:val="1"/>
      <w:marLeft w:val="0"/>
      <w:marRight w:val="0"/>
      <w:marTop w:val="0"/>
      <w:marBottom w:val="0"/>
      <w:divBdr>
        <w:top w:val="none" w:sz="0" w:space="0" w:color="auto"/>
        <w:left w:val="none" w:sz="0" w:space="0" w:color="auto"/>
        <w:bottom w:val="none" w:sz="0" w:space="0" w:color="auto"/>
        <w:right w:val="none" w:sz="0" w:space="0" w:color="auto"/>
      </w:divBdr>
    </w:div>
    <w:div w:id="116797735">
      <w:bodyDiv w:val="1"/>
      <w:marLeft w:val="0"/>
      <w:marRight w:val="0"/>
      <w:marTop w:val="0"/>
      <w:marBottom w:val="0"/>
      <w:divBdr>
        <w:top w:val="none" w:sz="0" w:space="0" w:color="auto"/>
        <w:left w:val="none" w:sz="0" w:space="0" w:color="auto"/>
        <w:bottom w:val="none" w:sz="0" w:space="0" w:color="auto"/>
        <w:right w:val="none" w:sz="0" w:space="0" w:color="auto"/>
      </w:divBdr>
      <w:divsChild>
        <w:div w:id="1513107182">
          <w:marLeft w:val="0"/>
          <w:marRight w:val="0"/>
          <w:marTop w:val="0"/>
          <w:marBottom w:val="0"/>
          <w:divBdr>
            <w:top w:val="none" w:sz="0" w:space="0" w:color="auto"/>
            <w:left w:val="none" w:sz="0" w:space="0" w:color="auto"/>
            <w:bottom w:val="none" w:sz="0" w:space="0" w:color="auto"/>
            <w:right w:val="none" w:sz="0" w:space="0" w:color="auto"/>
          </w:divBdr>
        </w:div>
      </w:divsChild>
    </w:div>
    <w:div w:id="177474647">
      <w:bodyDiv w:val="1"/>
      <w:marLeft w:val="0"/>
      <w:marRight w:val="0"/>
      <w:marTop w:val="0"/>
      <w:marBottom w:val="0"/>
      <w:divBdr>
        <w:top w:val="none" w:sz="0" w:space="0" w:color="auto"/>
        <w:left w:val="none" w:sz="0" w:space="0" w:color="auto"/>
        <w:bottom w:val="none" w:sz="0" w:space="0" w:color="auto"/>
        <w:right w:val="none" w:sz="0" w:space="0" w:color="auto"/>
      </w:divBdr>
    </w:div>
    <w:div w:id="201480923">
      <w:bodyDiv w:val="1"/>
      <w:marLeft w:val="0"/>
      <w:marRight w:val="0"/>
      <w:marTop w:val="0"/>
      <w:marBottom w:val="0"/>
      <w:divBdr>
        <w:top w:val="none" w:sz="0" w:space="0" w:color="auto"/>
        <w:left w:val="none" w:sz="0" w:space="0" w:color="auto"/>
        <w:bottom w:val="none" w:sz="0" w:space="0" w:color="auto"/>
        <w:right w:val="none" w:sz="0" w:space="0" w:color="auto"/>
      </w:divBdr>
    </w:div>
    <w:div w:id="209388320">
      <w:bodyDiv w:val="1"/>
      <w:marLeft w:val="0"/>
      <w:marRight w:val="0"/>
      <w:marTop w:val="0"/>
      <w:marBottom w:val="0"/>
      <w:divBdr>
        <w:top w:val="none" w:sz="0" w:space="0" w:color="auto"/>
        <w:left w:val="none" w:sz="0" w:space="0" w:color="auto"/>
        <w:bottom w:val="none" w:sz="0" w:space="0" w:color="auto"/>
        <w:right w:val="none" w:sz="0" w:space="0" w:color="auto"/>
      </w:divBdr>
    </w:div>
    <w:div w:id="219900884">
      <w:bodyDiv w:val="1"/>
      <w:marLeft w:val="0"/>
      <w:marRight w:val="0"/>
      <w:marTop w:val="0"/>
      <w:marBottom w:val="0"/>
      <w:divBdr>
        <w:top w:val="none" w:sz="0" w:space="0" w:color="auto"/>
        <w:left w:val="none" w:sz="0" w:space="0" w:color="auto"/>
        <w:bottom w:val="none" w:sz="0" w:space="0" w:color="auto"/>
        <w:right w:val="none" w:sz="0" w:space="0" w:color="auto"/>
      </w:divBdr>
    </w:div>
    <w:div w:id="249504926">
      <w:bodyDiv w:val="1"/>
      <w:marLeft w:val="0"/>
      <w:marRight w:val="0"/>
      <w:marTop w:val="0"/>
      <w:marBottom w:val="0"/>
      <w:divBdr>
        <w:top w:val="none" w:sz="0" w:space="0" w:color="auto"/>
        <w:left w:val="none" w:sz="0" w:space="0" w:color="auto"/>
        <w:bottom w:val="none" w:sz="0" w:space="0" w:color="auto"/>
        <w:right w:val="none" w:sz="0" w:space="0" w:color="auto"/>
      </w:divBdr>
    </w:div>
    <w:div w:id="372851187">
      <w:bodyDiv w:val="1"/>
      <w:marLeft w:val="0"/>
      <w:marRight w:val="0"/>
      <w:marTop w:val="0"/>
      <w:marBottom w:val="0"/>
      <w:divBdr>
        <w:top w:val="none" w:sz="0" w:space="0" w:color="auto"/>
        <w:left w:val="none" w:sz="0" w:space="0" w:color="auto"/>
        <w:bottom w:val="none" w:sz="0" w:space="0" w:color="auto"/>
        <w:right w:val="none" w:sz="0" w:space="0" w:color="auto"/>
      </w:divBdr>
    </w:div>
    <w:div w:id="447361233">
      <w:bodyDiv w:val="1"/>
      <w:marLeft w:val="0"/>
      <w:marRight w:val="0"/>
      <w:marTop w:val="0"/>
      <w:marBottom w:val="0"/>
      <w:divBdr>
        <w:top w:val="none" w:sz="0" w:space="0" w:color="auto"/>
        <w:left w:val="none" w:sz="0" w:space="0" w:color="auto"/>
        <w:bottom w:val="none" w:sz="0" w:space="0" w:color="auto"/>
        <w:right w:val="none" w:sz="0" w:space="0" w:color="auto"/>
      </w:divBdr>
    </w:div>
    <w:div w:id="501510869">
      <w:bodyDiv w:val="1"/>
      <w:marLeft w:val="0"/>
      <w:marRight w:val="0"/>
      <w:marTop w:val="0"/>
      <w:marBottom w:val="0"/>
      <w:divBdr>
        <w:top w:val="none" w:sz="0" w:space="0" w:color="auto"/>
        <w:left w:val="none" w:sz="0" w:space="0" w:color="auto"/>
        <w:bottom w:val="none" w:sz="0" w:space="0" w:color="auto"/>
        <w:right w:val="none" w:sz="0" w:space="0" w:color="auto"/>
      </w:divBdr>
    </w:div>
    <w:div w:id="517814392">
      <w:bodyDiv w:val="1"/>
      <w:marLeft w:val="0"/>
      <w:marRight w:val="0"/>
      <w:marTop w:val="0"/>
      <w:marBottom w:val="0"/>
      <w:divBdr>
        <w:top w:val="none" w:sz="0" w:space="0" w:color="auto"/>
        <w:left w:val="none" w:sz="0" w:space="0" w:color="auto"/>
        <w:bottom w:val="none" w:sz="0" w:space="0" w:color="auto"/>
        <w:right w:val="none" w:sz="0" w:space="0" w:color="auto"/>
      </w:divBdr>
    </w:div>
    <w:div w:id="604531950">
      <w:bodyDiv w:val="1"/>
      <w:marLeft w:val="0"/>
      <w:marRight w:val="0"/>
      <w:marTop w:val="0"/>
      <w:marBottom w:val="0"/>
      <w:divBdr>
        <w:top w:val="none" w:sz="0" w:space="0" w:color="auto"/>
        <w:left w:val="none" w:sz="0" w:space="0" w:color="auto"/>
        <w:bottom w:val="none" w:sz="0" w:space="0" w:color="auto"/>
        <w:right w:val="none" w:sz="0" w:space="0" w:color="auto"/>
      </w:divBdr>
    </w:div>
    <w:div w:id="605121043">
      <w:bodyDiv w:val="1"/>
      <w:marLeft w:val="0"/>
      <w:marRight w:val="0"/>
      <w:marTop w:val="0"/>
      <w:marBottom w:val="0"/>
      <w:divBdr>
        <w:top w:val="none" w:sz="0" w:space="0" w:color="auto"/>
        <w:left w:val="none" w:sz="0" w:space="0" w:color="auto"/>
        <w:bottom w:val="none" w:sz="0" w:space="0" w:color="auto"/>
        <w:right w:val="none" w:sz="0" w:space="0" w:color="auto"/>
      </w:divBdr>
    </w:div>
    <w:div w:id="727804647">
      <w:bodyDiv w:val="1"/>
      <w:marLeft w:val="0"/>
      <w:marRight w:val="0"/>
      <w:marTop w:val="0"/>
      <w:marBottom w:val="0"/>
      <w:divBdr>
        <w:top w:val="none" w:sz="0" w:space="0" w:color="auto"/>
        <w:left w:val="none" w:sz="0" w:space="0" w:color="auto"/>
        <w:bottom w:val="none" w:sz="0" w:space="0" w:color="auto"/>
        <w:right w:val="none" w:sz="0" w:space="0" w:color="auto"/>
      </w:divBdr>
    </w:div>
    <w:div w:id="780026881">
      <w:bodyDiv w:val="1"/>
      <w:marLeft w:val="0"/>
      <w:marRight w:val="0"/>
      <w:marTop w:val="0"/>
      <w:marBottom w:val="0"/>
      <w:divBdr>
        <w:top w:val="none" w:sz="0" w:space="0" w:color="auto"/>
        <w:left w:val="none" w:sz="0" w:space="0" w:color="auto"/>
        <w:bottom w:val="none" w:sz="0" w:space="0" w:color="auto"/>
        <w:right w:val="none" w:sz="0" w:space="0" w:color="auto"/>
      </w:divBdr>
    </w:div>
    <w:div w:id="809441506">
      <w:bodyDiv w:val="1"/>
      <w:marLeft w:val="0"/>
      <w:marRight w:val="0"/>
      <w:marTop w:val="0"/>
      <w:marBottom w:val="0"/>
      <w:divBdr>
        <w:top w:val="none" w:sz="0" w:space="0" w:color="auto"/>
        <w:left w:val="none" w:sz="0" w:space="0" w:color="auto"/>
        <w:bottom w:val="none" w:sz="0" w:space="0" w:color="auto"/>
        <w:right w:val="none" w:sz="0" w:space="0" w:color="auto"/>
      </w:divBdr>
    </w:div>
    <w:div w:id="914973960">
      <w:bodyDiv w:val="1"/>
      <w:marLeft w:val="0"/>
      <w:marRight w:val="0"/>
      <w:marTop w:val="0"/>
      <w:marBottom w:val="0"/>
      <w:divBdr>
        <w:top w:val="none" w:sz="0" w:space="0" w:color="auto"/>
        <w:left w:val="none" w:sz="0" w:space="0" w:color="auto"/>
        <w:bottom w:val="none" w:sz="0" w:space="0" w:color="auto"/>
        <w:right w:val="none" w:sz="0" w:space="0" w:color="auto"/>
      </w:divBdr>
    </w:div>
    <w:div w:id="930621952">
      <w:bodyDiv w:val="1"/>
      <w:marLeft w:val="0"/>
      <w:marRight w:val="0"/>
      <w:marTop w:val="0"/>
      <w:marBottom w:val="0"/>
      <w:divBdr>
        <w:top w:val="none" w:sz="0" w:space="0" w:color="auto"/>
        <w:left w:val="none" w:sz="0" w:space="0" w:color="auto"/>
        <w:bottom w:val="none" w:sz="0" w:space="0" w:color="auto"/>
        <w:right w:val="none" w:sz="0" w:space="0" w:color="auto"/>
      </w:divBdr>
      <w:divsChild>
        <w:div w:id="1790514831">
          <w:marLeft w:val="0"/>
          <w:marRight w:val="0"/>
          <w:marTop w:val="0"/>
          <w:marBottom w:val="0"/>
          <w:divBdr>
            <w:top w:val="none" w:sz="0" w:space="0" w:color="auto"/>
            <w:left w:val="none" w:sz="0" w:space="0" w:color="auto"/>
            <w:bottom w:val="none" w:sz="0" w:space="0" w:color="auto"/>
            <w:right w:val="none" w:sz="0" w:space="0" w:color="auto"/>
          </w:divBdr>
        </w:div>
      </w:divsChild>
    </w:div>
    <w:div w:id="970478171">
      <w:bodyDiv w:val="1"/>
      <w:marLeft w:val="0"/>
      <w:marRight w:val="0"/>
      <w:marTop w:val="0"/>
      <w:marBottom w:val="0"/>
      <w:divBdr>
        <w:top w:val="none" w:sz="0" w:space="0" w:color="auto"/>
        <w:left w:val="none" w:sz="0" w:space="0" w:color="auto"/>
        <w:bottom w:val="none" w:sz="0" w:space="0" w:color="auto"/>
        <w:right w:val="none" w:sz="0" w:space="0" w:color="auto"/>
      </w:divBdr>
    </w:div>
    <w:div w:id="1016619067">
      <w:bodyDiv w:val="1"/>
      <w:marLeft w:val="0"/>
      <w:marRight w:val="0"/>
      <w:marTop w:val="0"/>
      <w:marBottom w:val="0"/>
      <w:divBdr>
        <w:top w:val="none" w:sz="0" w:space="0" w:color="auto"/>
        <w:left w:val="none" w:sz="0" w:space="0" w:color="auto"/>
        <w:bottom w:val="none" w:sz="0" w:space="0" w:color="auto"/>
        <w:right w:val="none" w:sz="0" w:space="0" w:color="auto"/>
      </w:divBdr>
    </w:div>
    <w:div w:id="1133016011">
      <w:bodyDiv w:val="1"/>
      <w:marLeft w:val="0"/>
      <w:marRight w:val="0"/>
      <w:marTop w:val="0"/>
      <w:marBottom w:val="0"/>
      <w:divBdr>
        <w:top w:val="none" w:sz="0" w:space="0" w:color="auto"/>
        <w:left w:val="none" w:sz="0" w:space="0" w:color="auto"/>
        <w:bottom w:val="none" w:sz="0" w:space="0" w:color="auto"/>
        <w:right w:val="none" w:sz="0" w:space="0" w:color="auto"/>
      </w:divBdr>
      <w:divsChild>
        <w:div w:id="1113281120">
          <w:marLeft w:val="0"/>
          <w:marRight w:val="0"/>
          <w:marTop w:val="0"/>
          <w:marBottom w:val="0"/>
          <w:divBdr>
            <w:top w:val="none" w:sz="0" w:space="0" w:color="auto"/>
            <w:left w:val="none" w:sz="0" w:space="0" w:color="auto"/>
            <w:bottom w:val="none" w:sz="0" w:space="0" w:color="auto"/>
            <w:right w:val="none" w:sz="0" w:space="0" w:color="auto"/>
          </w:divBdr>
        </w:div>
      </w:divsChild>
    </w:div>
    <w:div w:id="1231966996">
      <w:bodyDiv w:val="1"/>
      <w:marLeft w:val="0"/>
      <w:marRight w:val="0"/>
      <w:marTop w:val="0"/>
      <w:marBottom w:val="0"/>
      <w:divBdr>
        <w:top w:val="none" w:sz="0" w:space="0" w:color="auto"/>
        <w:left w:val="none" w:sz="0" w:space="0" w:color="auto"/>
        <w:bottom w:val="none" w:sz="0" w:space="0" w:color="auto"/>
        <w:right w:val="none" w:sz="0" w:space="0" w:color="auto"/>
      </w:divBdr>
    </w:div>
    <w:div w:id="1233198629">
      <w:bodyDiv w:val="1"/>
      <w:marLeft w:val="0"/>
      <w:marRight w:val="0"/>
      <w:marTop w:val="0"/>
      <w:marBottom w:val="0"/>
      <w:divBdr>
        <w:top w:val="none" w:sz="0" w:space="0" w:color="auto"/>
        <w:left w:val="none" w:sz="0" w:space="0" w:color="auto"/>
        <w:bottom w:val="none" w:sz="0" w:space="0" w:color="auto"/>
        <w:right w:val="none" w:sz="0" w:space="0" w:color="auto"/>
      </w:divBdr>
    </w:div>
    <w:div w:id="1355837926">
      <w:bodyDiv w:val="1"/>
      <w:marLeft w:val="0"/>
      <w:marRight w:val="0"/>
      <w:marTop w:val="0"/>
      <w:marBottom w:val="0"/>
      <w:divBdr>
        <w:top w:val="none" w:sz="0" w:space="0" w:color="auto"/>
        <w:left w:val="none" w:sz="0" w:space="0" w:color="auto"/>
        <w:bottom w:val="none" w:sz="0" w:space="0" w:color="auto"/>
        <w:right w:val="none" w:sz="0" w:space="0" w:color="auto"/>
      </w:divBdr>
    </w:div>
    <w:div w:id="1532110368">
      <w:bodyDiv w:val="1"/>
      <w:marLeft w:val="0"/>
      <w:marRight w:val="0"/>
      <w:marTop w:val="0"/>
      <w:marBottom w:val="0"/>
      <w:divBdr>
        <w:top w:val="none" w:sz="0" w:space="0" w:color="auto"/>
        <w:left w:val="none" w:sz="0" w:space="0" w:color="auto"/>
        <w:bottom w:val="none" w:sz="0" w:space="0" w:color="auto"/>
        <w:right w:val="none" w:sz="0" w:space="0" w:color="auto"/>
      </w:divBdr>
    </w:div>
    <w:div w:id="1581401303">
      <w:bodyDiv w:val="1"/>
      <w:marLeft w:val="0"/>
      <w:marRight w:val="0"/>
      <w:marTop w:val="0"/>
      <w:marBottom w:val="0"/>
      <w:divBdr>
        <w:top w:val="none" w:sz="0" w:space="0" w:color="auto"/>
        <w:left w:val="none" w:sz="0" w:space="0" w:color="auto"/>
        <w:bottom w:val="none" w:sz="0" w:space="0" w:color="auto"/>
        <w:right w:val="none" w:sz="0" w:space="0" w:color="auto"/>
      </w:divBdr>
    </w:div>
    <w:div w:id="1584950284">
      <w:bodyDiv w:val="1"/>
      <w:marLeft w:val="0"/>
      <w:marRight w:val="0"/>
      <w:marTop w:val="0"/>
      <w:marBottom w:val="0"/>
      <w:divBdr>
        <w:top w:val="none" w:sz="0" w:space="0" w:color="auto"/>
        <w:left w:val="none" w:sz="0" w:space="0" w:color="auto"/>
        <w:bottom w:val="none" w:sz="0" w:space="0" w:color="auto"/>
        <w:right w:val="none" w:sz="0" w:space="0" w:color="auto"/>
      </w:divBdr>
    </w:div>
    <w:div w:id="1641837058">
      <w:bodyDiv w:val="1"/>
      <w:marLeft w:val="0"/>
      <w:marRight w:val="0"/>
      <w:marTop w:val="0"/>
      <w:marBottom w:val="0"/>
      <w:divBdr>
        <w:top w:val="none" w:sz="0" w:space="0" w:color="auto"/>
        <w:left w:val="none" w:sz="0" w:space="0" w:color="auto"/>
        <w:bottom w:val="none" w:sz="0" w:space="0" w:color="auto"/>
        <w:right w:val="none" w:sz="0" w:space="0" w:color="auto"/>
      </w:divBdr>
    </w:div>
    <w:div w:id="1695379264">
      <w:bodyDiv w:val="1"/>
      <w:marLeft w:val="0"/>
      <w:marRight w:val="0"/>
      <w:marTop w:val="0"/>
      <w:marBottom w:val="0"/>
      <w:divBdr>
        <w:top w:val="none" w:sz="0" w:space="0" w:color="auto"/>
        <w:left w:val="none" w:sz="0" w:space="0" w:color="auto"/>
        <w:bottom w:val="none" w:sz="0" w:space="0" w:color="auto"/>
        <w:right w:val="none" w:sz="0" w:space="0" w:color="auto"/>
      </w:divBdr>
    </w:div>
    <w:div w:id="1724711264">
      <w:bodyDiv w:val="1"/>
      <w:marLeft w:val="0"/>
      <w:marRight w:val="0"/>
      <w:marTop w:val="0"/>
      <w:marBottom w:val="0"/>
      <w:divBdr>
        <w:top w:val="none" w:sz="0" w:space="0" w:color="auto"/>
        <w:left w:val="none" w:sz="0" w:space="0" w:color="auto"/>
        <w:bottom w:val="none" w:sz="0" w:space="0" w:color="auto"/>
        <w:right w:val="none" w:sz="0" w:space="0" w:color="auto"/>
      </w:divBdr>
    </w:div>
    <w:div w:id="1779445553">
      <w:bodyDiv w:val="1"/>
      <w:marLeft w:val="0"/>
      <w:marRight w:val="0"/>
      <w:marTop w:val="0"/>
      <w:marBottom w:val="0"/>
      <w:divBdr>
        <w:top w:val="none" w:sz="0" w:space="0" w:color="auto"/>
        <w:left w:val="none" w:sz="0" w:space="0" w:color="auto"/>
        <w:bottom w:val="none" w:sz="0" w:space="0" w:color="auto"/>
        <w:right w:val="none" w:sz="0" w:space="0" w:color="auto"/>
      </w:divBdr>
    </w:div>
    <w:div w:id="1846506269">
      <w:bodyDiv w:val="1"/>
      <w:marLeft w:val="0"/>
      <w:marRight w:val="0"/>
      <w:marTop w:val="0"/>
      <w:marBottom w:val="0"/>
      <w:divBdr>
        <w:top w:val="none" w:sz="0" w:space="0" w:color="auto"/>
        <w:left w:val="none" w:sz="0" w:space="0" w:color="auto"/>
        <w:bottom w:val="none" w:sz="0" w:space="0" w:color="auto"/>
        <w:right w:val="none" w:sz="0" w:space="0" w:color="auto"/>
      </w:divBdr>
    </w:div>
    <w:div w:id="1861121965">
      <w:bodyDiv w:val="1"/>
      <w:marLeft w:val="0"/>
      <w:marRight w:val="0"/>
      <w:marTop w:val="0"/>
      <w:marBottom w:val="0"/>
      <w:divBdr>
        <w:top w:val="none" w:sz="0" w:space="0" w:color="auto"/>
        <w:left w:val="none" w:sz="0" w:space="0" w:color="auto"/>
        <w:bottom w:val="none" w:sz="0" w:space="0" w:color="auto"/>
        <w:right w:val="none" w:sz="0" w:space="0" w:color="auto"/>
      </w:divBdr>
    </w:div>
    <w:div w:id="1889412932">
      <w:bodyDiv w:val="1"/>
      <w:marLeft w:val="0"/>
      <w:marRight w:val="0"/>
      <w:marTop w:val="0"/>
      <w:marBottom w:val="0"/>
      <w:divBdr>
        <w:top w:val="none" w:sz="0" w:space="0" w:color="auto"/>
        <w:left w:val="none" w:sz="0" w:space="0" w:color="auto"/>
        <w:bottom w:val="none" w:sz="0" w:space="0" w:color="auto"/>
        <w:right w:val="none" w:sz="0" w:space="0" w:color="auto"/>
      </w:divBdr>
    </w:div>
    <w:div w:id="1890340620">
      <w:bodyDiv w:val="1"/>
      <w:marLeft w:val="0"/>
      <w:marRight w:val="0"/>
      <w:marTop w:val="0"/>
      <w:marBottom w:val="0"/>
      <w:divBdr>
        <w:top w:val="none" w:sz="0" w:space="0" w:color="auto"/>
        <w:left w:val="none" w:sz="0" w:space="0" w:color="auto"/>
        <w:bottom w:val="none" w:sz="0" w:space="0" w:color="auto"/>
        <w:right w:val="none" w:sz="0" w:space="0" w:color="auto"/>
      </w:divBdr>
    </w:div>
    <w:div w:id="1894854262">
      <w:bodyDiv w:val="1"/>
      <w:marLeft w:val="0"/>
      <w:marRight w:val="0"/>
      <w:marTop w:val="0"/>
      <w:marBottom w:val="0"/>
      <w:divBdr>
        <w:top w:val="none" w:sz="0" w:space="0" w:color="auto"/>
        <w:left w:val="none" w:sz="0" w:space="0" w:color="auto"/>
        <w:bottom w:val="none" w:sz="0" w:space="0" w:color="auto"/>
        <w:right w:val="none" w:sz="0" w:space="0" w:color="auto"/>
      </w:divBdr>
    </w:div>
    <w:div w:id="1897816929">
      <w:bodyDiv w:val="1"/>
      <w:marLeft w:val="0"/>
      <w:marRight w:val="0"/>
      <w:marTop w:val="0"/>
      <w:marBottom w:val="0"/>
      <w:divBdr>
        <w:top w:val="none" w:sz="0" w:space="0" w:color="auto"/>
        <w:left w:val="none" w:sz="0" w:space="0" w:color="auto"/>
        <w:bottom w:val="none" w:sz="0" w:space="0" w:color="auto"/>
        <w:right w:val="none" w:sz="0" w:space="0" w:color="auto"/>
      </w:divBdr>
    </w:div>
    <w:div w:id="1909995334">
      <w:bodyDiv w:val="1"/>
      <w:marLeft w:val="0"/>
      <w:marRight w:val="0"/>
      <w:marTop w:val="0"/>
      <w:marBottom w:val="0"/>
      <w:divBdr>
        <w:top w:val="none" w:sz="0" w:space="0" w:color="auto"/>
        <w:left w:val="none" w:sz="0" w:space="0" w:color="auto"/>
        <w:bottom w:val="none" w:sz="0" w:space="0" w:color="auto"/>
        <w:right w:val="none" w:sz="0" w:space="0" w:color="auto"/>
      </w:divBdr>
    </w:div>
    <w:div w:id="1943605641">
      <w:bodyDiv w:val="1"/>
      <w:marLeft w:val="0"/>
      <w:marRight w:val="0"/>
      <w:marTop w:val="0"/>
      <w:marBottom w:val="0"/>
      <w:divBdr>
        <w:top w:val="none" w:sz="0" w:space="0" w:color="auto"/>
        <w:left w:val="none" w:sz="0" w:space="0" w:color="auto"/>
        <w:bottom w:val="none" w:sz="0" w:space="0" w:color="auto"/>
        <w:right w:val="none" w:sz="0" w:space="0" w:color="auto"/>
      </w:divBdr>
    </w:div>
    <w:div w:id="1974209981">
      <w:bodyDiv w:val="1"/>
      <w:marLeft w:val="0"/>
      <w:marRight w:val="0"/>
      <w:marTop w:val="0"/>
      <w:marBottom w:val="0"/>
      <w:divBdr>
        <w:top w:val="none" w:sz="0" w:space="0" w:color="auto"/>
        <w:left w:val="none" w:sz="0" w:space="0" w:color="auto"/>
        <w:bottom w:val="none" w:sz="0" w:space="0" w:color="auto"/>
        <w:right w:val="none" w:sz="0" w:space="0" w:color="auto"/>
      </w:divBdr>
    </w:div>
    <w:div w:id="1980262220">
      <w:bodyDiv w:val="1"/>
      <w:marLeft w:val="0"/>
      <w:marRight w:val="0"/>
      <w:marTop w:val="0"/>
      <w:marBottom w:val="0"/>
      <w:divBdr>
        <w:top w:val="none" w:sz="0" w:space="0" w:color="auto"/>
        <w:left w:val="none" w:sz="0" w:space="0" w:color="auto"/>
        <w:bottom w:val="none" w:sz="0" w:space="0" w:color="auto"/>
        <w:right w:val="none" w:sz="0" w:space="0" w:color="auto"/>
      </w:divBdr>
    </w:div>
    <w:div w:id="2021009341">
      <w:bodyDiv w:val="1"/>
      <w:marLeft w:val="0"/>
      <w:marRight w:val="0"/>
      <w:marTop w:val="0"/>
      <w:marBottom w:val="0"/>
      <w:divBdr>
        <w:top w:val="none" w:sz="0" w:space="0" w:color="auto"/>
        <w:left w:val="none" w:sz="0" w:space="0" w:color="auto"/>
        <w:bottom w:val="none" w:sz="0" w:space="0" w:color="auto"/>
        <w:right w:val="none" w:sz="0" w:space="0" w:color="auto"/>
      </w:divBdr>
    </w:div>
    <w:div w:id="2076540846">
      <w:bodyDiv w:val="1"/>
      <w:marLeft w:val="0"/>
      <w:marRight w:val="0"/>
      <w:marTop w:val="0"/>
      <w:marBottom w:val="0"/>
      <w:divBdr>
        <w:top w:val="none" w:sz="0" w:space="0" w:color="auto"/>
        <w:left w:val="none" w:sz="0" w:space="0" w:color="auto"/>
        <w:bottom w:val="none" w:sz="0" w:space="0" w:color="auto"/>
        <w:right w:val="none" w:sz="0" w:space="0" w:color="auto"/>
      </w:divBdr>
    </w:div>
    <w:div w:id="2081516093">
      <w:bodyDiv w:val="1"/>
      <w:marLeft w:val="0"/>
      <w:marRight w:val="0"/>
      <w:marTop w:val="0"/>
      <w:marBottom w:val="0"/>
      <w:divBdr>
        <w:top w:val="none" w:sz="0" w:space="0" w:color="auto"/>
        <w:left w:val="none" w:sz="0" w:space="0" w:color="auto"/>
        <w:bottom w:val="none" w:sz="0" w:space="0" w:color="auto"/>
        <w:right w:val="none" w:sz="0" w:space="0" w:color="auto"/>
      </w:divBdr>
    </w:div>
    <w:div w:id="208484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858</Words>
  <Characters>4895</Characters>
  <Application>Microsoft Office Word</Application>
  <DocSecurity>0</DocSecurity>
  <Lines>40</Lines>
  <Paragraphs>11</Paragraphs>
  <ScaleCrop>false</ScaleCrop>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睿智</dc:creator>
  <cp:keywords/>
  <dc:description/>
  <cp:lastModifiedBy>李 睿智</cp:lastModifiedBy>
  <cp:revision>110</cp:revision>
  <dcterms:created xsi:type="dcterms:W3CDTF">2021-12-26T16:11:00Z</dcterms:created>
  <dcterms:modified xsi:type="dcterms:W3CDTF">2021-12-26T17:08:00Z</dcterms:modified>
</cp:coreProperties>
</file>