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ED1" w:rsidRDefault="00DE6ED1">
      <w:pPr>
        <w:spacing w:line="600" w:lineRule="exact"/>
        <w:jc w:val="center"/>
        <w:rPr>
          <w:rFonts w:ascii="方正小标宋简体" w:eastAsia="方正小标宋简体"/>
          <w:sz w:val="44"/>
          <w:szCs w:val="44"/>
        </w:rPr>
      </w:pPr>
    </w:p>
    <w:p w:rsidR="00DE6ED1" w:rsidRDefault="00784812">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山东省企业薪酬统计调查制度</w:t>
      </w:r>
      <w:r w:rsidR="00B90064">
        <w:rPr>
          <w:rFonts w:ascii="方正小标宋简体" w:eastAsia="方正小标宋简体" w:hint="eastAsia"/>
          <w:sz w:val="44"/>
          <w:szCs w:val="44"/>
        </w:rPr>
        <w:t>主要内容</w:t>
      </w:r>
    </w:p>
    <w:p w:rsidR="00B90064" w:rsidRDefault="00B90064">
      <w:pPr>
        <w:snapToGrid w:val="0"/>
        <w:spacing w:line="560" w:lineRule="exact"/>
        <w:ind w:firstLineChars="200" w:firstLine="640"/>
        <w:rPr>
          <w:rFonts w:ascii="楷体_GB2312" w:eastAsia="楷体_GB2312" w:hAnsi="楷体_GB2312" w:cs="楷体_GB2312"/>
          <w:szCs w:val="32"/>
        </w:rPr>
      </w:pPr>
    </w:p>
    <w:p w:rsidR="00DE6ED1" w:rsidRDefault="00784812" w:rsidP="002A7707">
      <w:pPr>
        <w:snapToGrid w:val="0"/>
        <w:spacing w:afterLines="50" w:after="217" w:line="590" w:lineRule="exact"/>
        <w:ind w:firstLineChars="200" w:firstLine="640"/>
        <w:rPr>
          <w:rFonts w:ascii="黑体" w:eastAsia="黑体" w:hAnsi="黑体"/>
          <w:szCs w:val="32"/>
        </w:rPr>
      </w:pPr>
      <w:r>
        <w:rPr>
          <w:rFonts w:ascii="黑体" w:eastAsia="黑体" w:hAnsi="黑体" w:hint="eastAsia"/>
          <w:szCs w:val="32"/>
        </w:rPr>
        <w:t>一、调查目的</w:t>
      </w:r>
    </w:p>
    <w:p w:rsidR="00DE6ED1" w:rsidRDefault="00784812" w:rsidP="002A7707">
      <w:pPr>
        <w:snapToGrid w:val="0"/>
        <w:spacing w:afterLines="50" w:after="217" w:line="590" w:lineRule="exact"/>
        <w:ind w:firstLineChars="200" w:firstLine="640"/>
        <w:rPr>
          <w:rFonts w:ascii="仿宋_GB2312" w:eastAsia="仿宋_GB2312"/>
          <w:szCs w:val="32"/>
        </w:rPr>
      </w:pPr>
      <w:r>
        <w:rPr>
          <w:rFonts w:ascii="仿宋_GB2312" w:eastAsia="仿宋_GB2312" w:hint="eastAsia"/>
          <w:szCs w:val="32"/>
        </w:rPr>
        <w:t>了解和掌握我省</w:t>
      </w:r>
      <w:r>
        <w:rPr>
          <w:rFonts w:ascii="仿宋_GB2312" w:eastAsia="仿宋_GB2312"/>
          <w:szCs w:val="32"/>
        </w:rPr>
        <w:t>不同行业企业人工成本和不同职业劳动者工资报酬情况，为政府宏观决策提供支持，为企业调整生产经营、与劳动者协商合理确定工资报酬水平提供</w:t>
      </w:r>
      <w:r>
        <w:rPr>
          <w:rFonts w:ascii="仿宋_GB2312" w:eastAsia="仿宋_GB2312" w:hint="eastAsia"/>
          <w:szCs w:val="32"/>
        </w:rPr>
        <w:t>数据</w:t>
      </w:r>
      <w:r>
        <w:rPr>
          <w:rFonts w:ascii="仿宋_GB2312" w:eastAsia="仿宋_GB2312"/>
          <w:szCs w:val="32"/>
        </w:rPr>
        <w:t>参考。</w:t>
      </w:r>
    </w:p>
    <w:p w:rsidR="00DE6ED1" w:rsidRDefault="00784812" w:rsidP="002A7707">
      <w:pPr>
        <w:snapToGrid w:val="0"/>
        <w:spacing w:afterLines="50" w:after="217" w:line="590" w:lineRule="exact"/>
        <w:ind w:firstLineChars="200" w:firstLine="640"/>
        <w:rPr>
          <w:rFonts w:ascii="黑体" w:eastAsia="黑体" w:hAnsi="黑体"/>
          <w:szCs w:val="32"/>
        </w:rPr>
      </w:pPr>
      <w:r>
        <w:rPr>
          <w:rFonts w:ascii="黑体" w:eastAsia="黑体" w:hAnsi="黑体" w:hint="eastAsia"/>
          <w:szCs w:val="32"/>
        </w:rPr>
        <w:t xml:space="preserve">二、调查内容 </w:t>
      </w:r>
    </w:p>
    <w:p w:rsidR="00DE6ED1" w:rsidRDefault="00784812" w:rsidP="002A7707">
      <w:pPr>
        <w:snapToGrid w:val="0"/>
        <w:spacing w:afterLines="50" w:after="217" w:line="590" w:lineRule="exact"/>
        <w:ind w:firstLineChars="200" w:firstLine="640"/>
        <w:rPr>
          <w:rFonts w:ascii="仿宋_GB2312" w:eastAsia="仿宋_GB2312"/>
          <w:szCs w:val="32"/>
        </w:rPr>
      </w:pPr>
      <w:r>
        <w:rPr>
          <w:rFonts w:ascii="仿宋_GB2312" w:eastAsia="仿宋_GB2312" w:hint="eastAsia"/>
          <w:szCs w:val="32"/>
        </w:rPr>
        <w:t>本制度</w:t>
      </w:r>
      <w:r>
        <w:rPr>
          <w:rFonts w:ascii="仿宋_GB2312" w:eastAsia="仿宋_GB2312"/>
          <w:szCs w:val="32"/>
        </w:rPr>
        <w:t>调查内容主要</w:t>
      </w:r>
      <w:r>
        <w:rPr>
          <w:rFonts w:ascii="仿宋_GB2312" w:eastAsia="仿宋_GB2312" w:hint="eastAsia"/>
          <w:szCs w:val="32"/>
        </w:rPr>
        <w:t>包括</w:t>
      </w:r>
      <w:r>
        <w:rPr>
          <w:rFonts w:ascii="仿宋_GB2312" w:eastAsia="仿宋_GB2312"/>
          <w:szCs w:val="32"/>
        </w:rPr>
        <w:t>企业基本情况</w:t>
      </w:r>
      <w:r>
        <w:rPr>
          <w:rFonts w:ascii="仿宋_GB2312" w:eastAsia="仿宋_GB2312" w:hint="eastAsia"/>
          <w:szCs w:val="32"/>
        </w:rPr>
        <w:t>、</w:t>
      </w:r>
      <w:r>
        <w:rPr>
          <w:rFonts w:ascii="仿宋_GB2312" w:eastAsia="仿宋_GB2312"/>
          <w:szCs w:val="32"/>
        </w:rPr>
        <w:t>企业人工成本情况</w:t>
      </w:r>
      <w:r>
        <w:rPr>
          <w:rFonts w:ascii="仿宋_GB2312" w:eastAsia="仿宋_GB2312" w:hint="eastAsia"/>
          <w:szCs w:val="32"/>
        </w:rPr>
        <w:t>、</w:t>
      </w:r>
      <w:r>
        <w:rPr>
          <w:rFonts w:ascii="仿宋_GB2312" w:eastAsia="仿宋_GB2312"/>
          <w:szCs w:val="32"/>
        </w:rPr>
        <w:t>企业从业人员工资报酬情况</w:t>
      </w:r>
      <w:r>
        <w:rPr>
          <w:rFonts w:ascii="仿宋_GB2312" w:eastAsia="仿宋_GB2312" w:hint="eastAsia"/>
          <w:szCs w:val="32"/>
        </w:rPr>
        <w:t>、</w:t>
      </w:r>
      <w:r>
        <w:rPr>
          <w:rFonts w:ascii="仿宋_GB2312" w:eastAsia="仿宋_GB2312"/>
          <w:szCs w:val="32"/>
        </w:rPr>
        <w:t>新就业形态劳动者劳动报酬情况。</w:t>
      </w:r>
    </w:p>
    <w:p w:rsidR="00DE6ED1" w:rsidRDefault="00784812" w:rsidP="002A7707">
      <w:pPr>
        <w:snapToGrid w:val="0"/>
        <w:spacing w:afterLines="50" w:after="217" w:line="590" w:lineRule="exact"/>
        <w:ind w:firstLineChars="200" w:firstLine="640"/>
        <w:rPr>
          <w:rFonts w:ascii="黑体" w:eastAsia="黑体" w:hAnsi="黑体"/>
          <w:szCs w:val="32"/>
        </w:rPr>
      </w:pPr>
      <w:r>
        <w:rPr>
          <w:rFonts w:ascii="黑体" w:eastAsia="黑体" w:hAnsi="黑体" w:hint="eastAsia"/>
          <w:szCs w:val="32"/>
        </w:rPr>
        <w:t>三、调查范围和对象</w:t>
      </w:r>
    </w:p>
    <w:p w:rsidR="00DE6ED1" w:rsidRDefault="00006953" w:rsidP="002A7707">
      <w:pPr>
        <w:snapToGrid w:val="0"/>
        <w:spacing w:afterLines="50" w:after="217" w:line="590" w:lineRule="exact"/>
        <w:ind w:firstLineChars="200" w:firstLine="640"/>
        <w:rPr>
          <w:rFonts w:ascii="仿宋_GB2312" w:eastAsia="仿宋_GB2312"/>
          <w:szCs w:val="32"/>
        </w:rPr>
      </w:pPr>
      <w:r>
        <w:rPr>
          <w:rFonts w:ascii="仿宋_GB2312" w:eastAsia="仿宋_GB2312" w:hint="eastAsia"/>
          <w:szCs w:val="32"/>
        </w:rPr>
        <w:t>本制度</w:t>
      </w:r>
      <w:r w:rsidR="00784812">
        <w:rPr>
          <w:rFonts w:ascii="仿宋_GB2312" w:eastAsia="仿宋_GB2312" w:hint="eastAsia"/>
          <w:szCs w:val="32"/>
        </w:rPr>
        <w:t>年报的统计范围是全省16市辖区内各类企业法人单位，各类职业从业人员；季报的统计范围是部分定点监测城市辖区内各类企业法人单位。</w:t>
      </w:r>
    </w:p>
    <w:p w:rsidR="00DE6ED1" w:rsidRDefault="00784812" w:rsidP="002A7707">
      <w:pPr>
        <w:snapToGrid w:val="0"/>
        <w:spacing w:afterLines="50" w:after="217" w:line="590" w:lineRule="exact"/>
        <w:ind w:firstLineChars="200" w:firstLine="640"/>
        <w:rPr>
          <w:rFonts w:ascii="黑体" w:eastAsia="黑体" w:hAnsi="黑体"/>
          <w:szCs w:val="32"/>
        </w:rPr>
      </w:pPr>
      <w:r>
        <w:rPr>
          <w:rFonts w:ascii="黑体" w:eastAsia="黑体" w:hAnsi="黑体" w:hint="eastAsia"/>
          <w:szCs w:val="32"/>
        </w:rPr>
        <w:t>四、调查方法</w:t>
      </w:r>
    </w:p>
    <w:p w:rsidR="00DE6ED1" w:rsidRDefault="00784812" w:rsidP="002A7707">
      <w:pPr>
        <w:spacing w:afterLines="50" w:after="217" w:line="590" w:lineRule="exact"/>
        <w:ind w:firstLineChars="200" w:firstLine="640"/>
        <w:rPr>
          <w:kern w:val="0"/>
        </w:rPr>
      </w:pPr>
      <w:r>
        <w:rPr>
          <w:rFonts w:ascii="仿宋_GB2312" w:eastAsia="仿宋_GB2312" w:hint="eastAsia"/>
          <w:szCs w:val="32"/>
        </w:rPr>
        <w:t>本制度的调查方法主要包括抽样调查、典型调查和重点调查。对18个国民经济行业门类的企业及其从业人员按年度实行抽样调查；对部分制造业企业按季度进行典型调查；对平台企业及其从业人员按年度进行重点调查。</w:t>
      </w:r>
    </w:p>
    <w:p w:rsidR="00DE6ED1" w:rsidRDefault="00784812" w:rsidP="002A7707">
      <w:pPr>
        <w:snapToGrid w:val="0"/>
        <w:spacing w:afterLines="50" w:after="217" w:line="590" w:lineRule="exact"/>
        <w:ind w:firstLineChars="200" w:firstLine="640"/>
        <w:rPr>
          <w:rFonts w:ascii="黑体" w:eastAsia="黑体" w:hAnsi="黑体"/>
          <w:szCs w:val="32"/>
        </w:rPr>
      </w:pPr>
      <w:r>
        <w:rPr>
          <w:rFonts w:ascii="黑体" w:eastAsia="黑体" w:hAnsi="黑体" w:hint="eastAsia"/>
          <w:szCs w:val="32"/>
        </w:rPr>
        <w:t>五、组织实施和质量控制</w:t>
      </w:r>
    </w:p>
    <w:p w:rsidR="00DE6ED1" w:rsidRDefault="00784812" w:rsidP="002A7707">
      <w:pPr>
        <w:spacing w:afterLines="50" w:after="217" w:line="590" w:lineRule="exact"/>
        <w:ind w:firstLineChars="200" w:firstLine="640"/>
        <w:rPr>
          <w:rFonts w:ascii="仿宋_GB2312" w:eastAsia="仿宋_GB2312"/>
          <w:szCs w:val="32"/>
        </w:rPr>
      </w:pPr>
      <w:r>
        <w:rPr>
          <w:rFonts w:ascii="仿宋_GB2312" w:eastAsia="仿宋_GB2312" w:hint="eastAsia"/>
          <w:szCs w:val="32"/>
        </w:rPr>
        <w:lastRenderedPageBreak/>
        <w:t>本调查制度由省人力资源社会保障厅统一部署，委托各</w:t>
      </w:r>
      <w:r w:rsidR="00A23D58">
        <w:rPr>
          <w:rFonts w:ascii="仿宋_GB2312" w:eastAsia="仿宋_GB2312" w:hint="eastAsia"/>
          <w:szCs w:val="32"/>
        </w:rPr>
        <w:t>地</w:t>
      </w:r>
      <w:r>
        <w:rPr>
          <w:rFonts w:ascii="仿宋_GB2312" w:eastAsia="仿宋_GB2312" w:hint="eastAsia"/>
          <w:szCs w:val="32"/>
        </w:rPr>
        <w:t>人力资源社会保障部门组织被调查对象通过统一的信息系统填报数据，逐级汇总至省人力资源社会保障厅进行计算。</w:t>
      </w:r>
    </w:p>
    <w:p w:rsidR="00DE6ED1" w:rsidRDefault="00784812" w:rsidP="002A7707">
      <w:pPr>
        <w:snapToGrid w:val="0"/>
        <w:spacing w:afterLines="50" w:after="217" w:line="590" w:lineRule="exact"/>
        <w:ind w:firstLineChars="200" w:firstLine="640"/>
        <w:rPr>
          <w:rFonts w:ascii="黑体" w:eastAsia="黑体" w:hAnsi="黑体"/>
          <w:szCs w:val="32"/>
        </w:rPr>
      </w:pPr>
      <w:r>
        <w:rPr>
          <w:rFonts w:ascii="黑体" w:eastAsia="黑体" w:hAnsi="黑体" w:hint="eastAsia"/>
          <w:szCs w:val="32"/>
        </w:rPr>
        <w:t>六、数据发布</w:t>
      </w:r>
    </w:p>
    <w:p w:rsidR="00DE6ED1" w:rsidRPr="002A7707" w:rsidRDefault="00784812" w:rsidP="002A7707">
      <w:pPr>
        <w:spacing w:afterLines="50" w:after="217" w:line="590" w:lineRule="exact"/>
        <w:ind w:firstLineChars="200" w:firstLine="640"/>
        <w:rPr>
          <w:rFonts w:ascii="仿宋_GB2312" w:eastAsia="仿宋_GB2312" w:hint="eastAsia"/>
          <w:szCs w:val="32"/>
        </w:rPr>
      </w:pPr>
      <w:r>
        <w:rPr>
          <w:rFonts w:ascii="仿宋_GB2312" w:eastAsia="仿宋_GB2312" w:hint="eastAsia"/>
          <w:szCs w:val="32"/>
        </w:rPr>
        <w:t>本制度获取的企业从业人</w:t>
      </w:r>
      <w:r w:rsidR="00DA6567">
        <w:rPr>
          <w:rFonts w:ascii="仿宋_GB2312" w:eastAsia="仿宋_GB2312" w:hint="eastAsia"/>
          <w:szCs w:val="32"/>
        </w:rPr>
        <w:t>员工资价位等信息原则上每年第三季度前通过省人力资源社会保障厅门户</w:t>
      </w:r>
      <w:r>
        <w:rPr>
          <w:rFonts w:ascii="仿宋_GB2312" w:eastAsia="仿宋_GB2312" w:hint="eastAsia"/>
          <w:szCs w:val="32"/>
        </w:rPr>
        <w:t>网站等渠</w:t>
      </w:r>
      <w:bookmarkStart w:id="0" w:name="_GoBack"/>
      <w:bookmarkEnd w:id="0"/>
      <w:r>
        <w:rPr>
          <w:rFonts w:ascii="仿宋_GB2312" w:eastAsia="仿宋_GB2312" w:hint="eastAsia"/>
          <w:szCs w:val="32"/>
        </w:rPr>
        <w:t>道公布。</w:t>
      </w:r>
    </w:p>
    <w:sectPr w:rsidR="00DE6ED1" w:rsidRPr="002A7707" w:rsidSect="002A7707">
      <w:headerReference w:type="default" r:id="rId7"/>
      <w:footerReference w:type="default" r:id="rId8"/>
      <w:pgSz w:w="11906" w:h="16838"/>
      <w:pgMar w:top="1474" w:right="1474" w:bottom="1474" w:left="1474" w:header="851" w:footer="1191" w:gutter="0"/>
      <w:cols w:space="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A6E" w:rsidRDefault="004B7A6E">
      <w:r>
        <w:separator/>
      </w:r>
    </w:p>
  </w:endnote>
  <w:endnote w:type="continuationSeparator" w:id="0">
    <w:p w:rsidR="004B7A6E" w:rsidRDefault="004B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38CF7CFA" w:usb2="00082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ED1" w:rsidRDefault="00784812">
    <w:pPr>
      <w:pStyle w:val="a6"/>
      <w:ind w:firstLine="360"/>
      <w:jc w:val="cente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6ED1" w:rsidRDefault="00784812">
                          <w:pPr>
                            <w:snapToGrid w:val="0"/>
                            <w:ind w:leftChars="100" w:left="320" w:rightChars="100" w:right="32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06953">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DE6ED1" w:rsidRDefault="00784812">
                    <w:pPr>
                      <w:snapToGrid w:val="0"/>
                      <w:ind w:leftChars="100" w:left="320" w:rightChars="100" w:right="32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06953">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A6E" w:rsidRDefault="004B7A6E">
      <w:r>
        <w:separator/>
      </w:r>
    </w:p>
  </w:footnote>
  <w:footnote w:type="continuationSeparator" w:id="0">
    <w:p w:rsidR="004B7A6E" w:rsidRDefault="004B7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ED1" w:rsidRDefault="00DE6ED1">
    <w:pPr>
      <w:ind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ED1"/>
    <w:rsid w:val="D7FF6C5A"/>
    <w:rsid w:val="DEEBE4EA"/>
    <w:rsid w:val="DFA8CDEF"/>
    <w:rsid w:val="E55BEC67"/>
    <w:rsid w:val="EDD9C16A"/>
    <w:rsid w:val="EF6E7942"/>
    <w:rsid w:val="F6F6C0D4"/>
    <w:rsid w:val="F7DF12CA"/>
    <w:rsid w:val="F7F6DEC6"/>
    <w:rsid w:val="FDBF5657"/>
    <w:rsid w:val="FFEF3049"/>
    <w:rsid w:val="FFFF03A0"/>
    <w:rsid w:val="00006953"/>
    <w:rsid w:val="000E4AF6"/>
    <w:rsid w:val="002A7707"/>
    <w:rsid w:val="004B7A6E"/>
    <w:rsid w:val="00784812"/>
    <w:rsid w:val="00A23D58"/>
    <w:rsid w:val="00B90064"/>
    <w:rsid w:val="00DA6567"/>
    <w:rsid w:val="00DE6ED1"/>
    <w:rsid w:val="01433361"/>
    <w:rsid w:val="01AF35E2"/>
    <w:rsid w:val="02DB7934"/>
    <w:rsid w:val="07584BAF"/>
    <w:rsid w:val="084B6C6D"/>
    <w:rsid w:val="087E4B33"/>
    <w:rsid w:val="08DE1F3F"/>
    <w:rsid w:val="094972FA"/>
    <w:rsid w:val="0D8F54EF"/>
    <w:rsid w:val="10F87D8A"/>
    <w:rsid w:val="14AA3A69"/>
    <w:rsid w:val="15AA6C4F"/>
    <w:rsid w:val="16EC0FBE"/>
    <w:rsid w:val="180B0B11"/>
    <w:rsid w:val="184070D4"/>
    <w:rsid w:val="1C6E4061"/>
    <w:rsid w:val="1CED5879"/>
    <w:rsid w:val="25B60C82"/>
    <w:rsid w:val="29917AE6"/>
    <w:rsid w:val="2C8B7BCF"/>
    <w:rsid w:val="2D47585A"/>
    <w:rsid w:val="30C47FD5"/>
    <w:rsid w:val="318B6F58"/>
    <w:rsid w:val="31E43165"/>
    <w:rsid w:val="32551B52"/>
    <w:rsid w:val="32D0248A"/>
    <w:rsid w:val="32E94ADB"/>
    <w:rsid w:val="36B5481B"/>
    <w:rsid w:val="36CF377E"/>
    <w:rsid w:val="396C2AA3"/>
    <w:rsid w:val="3983418E"/>
    <w:rsid w:val="3A6E1927"/>
    <w:rsid w:val="3AC411E9"/>
    <w:rsid w:val="3B7E3F85"/>
    <w:rsid w:val="3BA6490A"/>
    <w:rsid w:val="3BCA6834"/>
    <w:rsid w:val="3D0B619B"/>
    <w:rsid w:val="3D7337A0"/>
    <w:rsid w:val="3EB64214"/>
    <w:rsid w:val="3EC90F16"/>
    <w:rsid w:val="405501D2"/>
    <w:rsid w:val="40780F36"/>
    <w:rsid w:val="43414B61"/>
    <w:rsid w:val="436A63E7"/>
    <w:rsid w:val="43960BBF"/>
    <w:rsid w:val="445223D2"/>
    <w:rsid w:val="44780C66"/>
    <w:rsid w:val="45103BE4"/>
    <w:rsid w:val="45340609"/>
    <w:rsid w:val="45D9783C"/>
    <w:rsid w:val="45E70279"/>
    <w:rsid w:val="46AD0857"/>
    <w:rsid w:val="48424879"/>
    <w:rsid w:val="48AE2468"/>
    <w:rsid w:val="4B861347"/>
    <w:rsid w:val="4BE86925"/>
    <w:rsid w:val="4C0535D0"/>
    <w:rsid w:val="4DFF1D35"/>
    <w:rsid w:val="4EA453C9"/>
    <w:rsid w:val="4EFB2FD9"/>
    <w:rsid w:val="4FBF91ED"/>
    <w:rsid w:val="50F83D64"/>
    <w:rsid w:val="51BF5C8B"/>
    <w:rsid w:val="52664A6D"/>
    <w:rsid w:val="52853A7E"/>
    <w:rsid w:val="55475E16"/>
    <w:rsid w:val="57FF3FA2"/>
    <w:rsid w:val="59980D44"/>
    <w:rsid w:val="5B7EB27A"/>
    <w:rsid w:val="5BDF296F"/>
    <w:rsid w:val="5D463492"/>
    <w:rsid w:val="5DF40F6B"/>
    <w:rsid w:val="5FF3475E"/>
    <w:rsid w:val="62FC7E1A"/>
    <w:rsid w:val="632C1492"/>
    <w:rsid w:val="6434429A"/>
    <w:rsid w:val="64E37470"/>
    <w:rsid w:val="65326B1A"/>
    <w:rsid w:val="65ED4FB7"/>
    <w:rsid w:val="676F321E"/>
    <w:rsid w:val="680E402B"/>
    <w:rsid w:val="69DC3410"/>
    <w:rsid w:val="6BF87BE4"/>
    <w:rsid w:val="6D00262E"/>
    <w:rsid w:val="6D235306"/>
    <w:rsid w:val="6DC9C822"/>
    <w:rsid w:val="6F0045DB"/>
    <w:rsid w:val="7025172F"/>
    <w:rsid w:val="7136246C"/>
    <w:rsid w:val="718C2FF7"/>
    <w:rsid w:val="72487FDE"/>
    <w:rsid w:val="740E35FC"/>
    <w:rsid w:val="74BF4C9F"/>
    <w:rsid w:val="77195FD3"/>
    <w:rsid w:val="781C07C6"/>
    <w:rsid w:val="79A7E6D8"/>
    <w:rsid w:val="7A3A6149"/>
    <w:rsid w:val="7ADDBDAE"/>
    <w:rsid w:val="7BCA5673"/>
    <w:rsid w:val="7BE7BD28"/>
    <w:rsid w:val="7C1C5925"/>
    <w:rsid w:val="7DBF0B3C"/>
    <w:rsid w:val="7EA7C483"/>
    <w:rsid w:val="7FDF2BCA"/>
    <w:rsid w:val="7FE91085"/>
    <w:rsid w:val="AB992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884AB53-97AF-49DE-AF42-AE45D711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5" w:uiPriority="39" w:unhideWhenUsed="1" w:qFormat="1"/>
    <w:lsdException w:name="header" w:qFormat="1"/>
    <w:lsdException w:name="footer" w:uiPriority="99" w:qFormat="1"/>
    <w:lsdException w:name="caption" w:semiHidden="1" w:unhideWhenUsed="1" w:qFormat="1"/>
    <w:lsdException w:name="List" w:qFormat="1"/>
    <w:lsdException w:name="Title" w:qFormat="1"/>
    <w:lsdException w:name="Default Paragraph Font" w:semiHidden="1" w:qFormat="1"/>
    <w:lsdException w:name="Body Text"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32"/>
      <w:szCs w:val="24"/>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rPr>
      <w:rFonts w:ascii="Times New Roman" w:hAnsi="Times New Roman"/>
      <w:szCs w:val="20"/>
    </w:rPr>
  </w:style>
  <w:style w:type="paragraph" w:styleId="a4">
    <w:name w:val="Title"/>
    <w:basedOn w:val="a"/>
    <w:next w:val="a"/>
    <w:qFormat/>
    <w:pPr>
      <w:jc w:val="center"/>
      <w:outlineLvl w:val="0"/>
    </w:pPr>
    <w:rPr>
      <w:rFonts w:ascii="方正小标宋_GBK" w:eastAsia="方正小标宋_GBK" w:hAnsi="方正小标宋_GBK" w:cs="方正小标宋_GBK"/>
      <w:sz w:val="44"/>
      <w:szCs w:val="44"/>
    </w:rPr>
  </w:style>
  <w:style w:type="paragraph" w:styleId="5">
    <w:name w:val="toc 5"/>
    <w:basedOn w:val="a"/>
    <w:next w:val="a"/>
    <w:uiPriority w:val="39"/>
    <w:unhideWhenUsed/>
    <w:qFormat/>
    <w:pPr>
      <w:ind w:left="1680"/>
    </w:pPr>
  </w:style>
  <w:style w:type="paragraph" w:styleId="a5">
    <w:name w:val="Plain Text"/>
    <w:basedOn w:val="a"/>
    <w:qFormat/>
    <w:rPr>
      <w:rFonts w:hAnsi="Courier New"/>
      <w:szCs w:val="20"/>
    </w:rPr>
  </w:style>
  <w:style w:type="paragraph" w:styleId="a6">
    <w:name w:val="footer"/>
    <w:basedOn w:val="a"/>
    <w:uiPriority w:val="99"/>
    <w:qFormat/>
    <w:pPr>
      <w:tabs>
        <w:tab w:val="center" w:pos="4153"/>
        <w:tab w:val="right" w:pos="8306"/>
      </w:tabs>
      <w:snapToGrid w:val="0"/>
      <w:jc w:val="left"/>
    </w:pPr>
    <w:rPr>
      <w:rFonts w:ascii="Times New Roman" w:hAnsi="Times New Roman"/>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tabs>
        <w:tab w:val="right" w:leader="dot" w:pos="9214"/>
      </w:tabs>
    </w:pPr>
  </w:style>
  <w:style w:type="paragraph" w:styleId="a8">
    <w:name w:val="List"/>
    <w:basedOn w:val="a"/>
    <w:qFormat/>
    <w:pPr>
      <w:ind w:left="420" w:hanging="420"/>
    </w:pPr>
    <w:rPr>
      <w:rFonts w:ascii="Times New Roman" w:hAnsi="Times New Roman"/>
      <w:szCs w:val="20"/>
    </w:rPr>
  </w:style>
  <w:style w:type="paragraph" w:styleId="a9">
    <w:name w:val="Normal (Web)"/>
    <w:basedOn w:val="a"/>
    <w:qFormat/>
    <w:rPr>
      <w:sz w:val="24"/>
    </w:rPr>
  </w:style>
  <w:style w:type="character" w:styleId="aa">
    <w:name w:val="Hyperlink"/>
    <w:basedOn w:val="a1"/>
    <w:uiPriority w:val="99"/>
    <w:unhideWhenUsed/>
    <w:qFormat/>
    <w:rPr>
      <w:color w:val="0000FF"/>
      <w:u w:val="single"/>
    </w:rPr>
  </w:style>
  <w:style w:type="paragraph" w:customStyle="1" w:styleId="11">
    <w:name w:val="样式1"/>
    <w:basedOn w:val="993"/>
    <w:qFormat/>
    <w:pPr>
      <w:spacing w:line="360" w:lineRule="auto"/>
      <w:ind w:firstLineChars="200" w:firstLine="480"/>
    </w:pPr>
  </w:style>
  <w:style w:type="paragraph" w:customStyle="1" w:styleId="993">
    <w:name w:val="正文993"/>
    <w:uiPriority w:val="99"/>
    <w:qFormat/>
    <w:pPr>
      <w:widowControl w:val="0"/>
      <w:jc w:val="both"/>
    </w:pPr>
    <w:rPr>
      <w:rFonts w:ascii="仿宋_GB2312" w:eastAsia="仿宋_GB2312"/>
      <w:kern w:val="2"/>
      <w:sz w:val="24"/>
      <w:szCs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CharChar">
    <w:name w:val="黑体 Char Char"/>
    <w:basedOn w:val="a1"/>
    <w:link w:val="ab"/>
    <w:qFormat/>
    <w:rPr>
      <w:rFonts w:ascii="黑体" w:eastAsia="黑体" w:hAnsi="黑体"/>
    </w:rPr>
  </w:style>
  <w:style w:type="paragraph" w:customStyle="1" w:styleId="ab">
    <w:name w:val="黑体"/>
    <w:basedOn w:val="a"/>
    <w:link w:val="CharChar"/>
    <w:qFormat/>
    <w:pPr>
      <w:snapToGrid w:val="0"/>
      <w:spacing w:line="360" w:lineRule="exact"/>
    </w:pPr>
    <w:rPr>
      <w:rFonts w:ascii="黑体" w:eastAsia="黑体" w:hAnsi="黑体"/>
    </w:rPr>
  </w:style>
  <w:style w:type="paragraph" w:customStyle="1" w:styleId="997">
    <w:name w:val="正文997"/>
    <w:link w:val="997CharChar"/>
    <w:qFormat/>
    <w:pPr>
      <w:widowControl w:val="0"/>
      <w:ind w:firstLineChars="200" w:firstLine="200"/>
      <w:jc w:val="both"/>
    </w:pPr>
  </w:style>
  <w:style w:type="character" w:customStyle="1" w:styleId="1CharChar">
    <w:name w:val="1 Char Char"/>
    <w:basedOn w:val="997CharChar"/>
    <w:link w:val="12"/>
    <w:qFormat/>
    <w:rPr>
      <w:rFonts w:ascii="宋体" w:eastAsia="宋体" w:hAnsi="宋体" w:cs="Times New Roman"/>
      <w:color w:val="000000"/>
      <w:kern w:val="2"/>
      <w:sz w:val="21"/>
      <w:szCs w:val="21"/>
      <w:lang w:val="en-US" w:eastAsia="zh-CN" w:bidi="ar-SA"/>
    </w:rPr>
  </w:style>
  <w:style w:type="character" w:customStyle="1" w:styleId="997CharChar">
    <w:name w:val="正文997 Char Char"/>
    <w:basedOn w:val="a1"/>
    <w:link w:val="997"/>
    <w:qFormat/>
    <w:rPr>
      <w:rFonts w:ascii="Times New Roman" w:eastAsia="宋体" w:hAnsi="Times New Roman" w:cs="Times New Roman"/>
      <w:lang w:val="en-US" w:eastAsia="zh-CN" w:bidi="ar-SA"/>
    </w:rPr>
  </w:style>
  <w:style w:type="paragraph" w:customStyle="1" w:styleId="12">
    <w:name w:val="1"/>
    <w:basedOn w:val="997"/>
    <w:link w:val="1CharChar"/>
    <w:qFormat/>
    <w:pPr>
      <w:adjustRightInd w:val="0"/>
      <w:snapToGrid w:val="0"/>
      <w:spacing w:line="400" w:lineRule="exact"/>
      <w:ind w:firstLine="422"/>
    </w:pPr>
    <w:rPr>
      <w:rFonts w:ascii="宋体" w:hAnsi="宋体"/>
      <w:color w:val="000000"/>
      <w:kern w:val="2"/>
      <w:sz w:val="21"/>
      <w:szCs w:val="21"/>
    </w:rPr>
  </w:style>
  <w:style w:type="paragraph" w:customStyle="1" w:styleId="p0">
    <w:name w:val="p0"/>
    <w:basedOn w:val="a"/>
    <w:uiPriority w:val="99"/>
    <w:qFormat/>
    <w:pPr>
      <w:widowControl/>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74</Words>
  <Characters>424</Characters>
  <Application>Microsoft Office Word</Application>
  <DocSecurity>0</DocSecurity>
  <Lines>3</Lines>
  <Paragraphs>1</Paragraphs>
  <ScaleCrop>false</ScaleCrop>
  <Company>国家统计局</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86183</dc:creator>
  <cp:lastModifiedBy>武金梅</cp:lastModifiedBy>
  <cp:revision>6</cp:revision>
  <cp:lastPrinted>2022-03-19T17:11:00Z</cp:lastPrinted>
  <dcterms:created xsi:type="dcterms:W3CDTF">2025-03-10T07:30:00Z</dcterms:created>
  <dcterms:modified xsi:type="dcterms:W3CDTF">2025-03-14T07:17:00Z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FDDCC6517BC548EEB5D62CBEB3CB5F4D</vt:lpwstr>
  </property>
</Properties>
</file>